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702" w:rsidRPr="000B3A8F" w:rsidRDefault="007E4702" w:rsidP="000B3A8F">
      <w:pPr>
        <w:spacing w:line="340" w:lineRule="exact"/>
        <w:jc w:val="center"/>
        <w:rPr>
          <w:sz w:val="22"/>
          <w:szCs w:val="22"/>
        </w:rPr>
      </w:pPr>
      <w:r w:rsidRPr="000B3A8F">
        <w:rPr>
          <w:b/>
          <w:bCs/>
          <w:color w:val="000000"/>
          <w:sz w:val="22"/>
          <w:szCs w:val="22"/>
        </w:rPr>
        <w:t>MINISTRY OF EDUCATION AND TRAINING</w:t>
      </w:r>
      <w:r w:rsidRPr="000B3A8F">
        <w:rPr>
          <w:b/>
          <w:bCs/>
          <w:color w:val="000000"/>
          <w:sz w:val="22"/>
          <w:szCs w:val="22"/>
        </w:rPr>
        <w:br/>
        <w:t>UNIVERSITY OF ECONOMICS HO CHI MINH CITY</w:t>
      </w:r>
      <w:r w:rsidRPr="000B3A8F">
        <w:rPr>
          <w:sz w:val="22"/>
          <w:szCs w:val="22"/>
        </w:rPr>
        <w:t xml:space="preserve"> </w:t>
      </w:r>
    </w:p>
    <w:p w:rsidR="005E4AAE" w:rsidRPr="000B3A8F" w:rsidRDefault="005E4AAE" w:rsidP="000B3A8F">
      <w:pPr>
        <w:spacing w:line="340" w:lineRule="exact"/>
        <w:jc w:val="center"/>
        <w:rPr>
          <w:sz w:val="22"/>
          <w:szCs w:val="22"/>
        </w:rPr>
      </w:pPr>
      <w:r w:rsidRPr="000B3A8F">
        <w:rPr>
          <w:sz w:val="22"/>
          <w:szCs w:val="22"/>
        </w:rPr>
        <w:t>-------------------------</w:t>
      </w:r>
    </w:p>
    <w:p w:rsidR="005E4AAE" w:rsidRPr="000B3A8F" w:rsidRDefault="005E4AAE" w:rsidP="000B3A8F">
      <w:pPr>
        <w:spacing w:line="340" w:lineRule="exact"/>
        <w:jc w:val="center"/>
        <w:rPr>
          <w:sz w:val="22"/>
          <w:szCs w:val="22"/>
        </w:rPr>
      </w:pPr>
    </w:p>
    <w:p w:rsidR="00412269" w:rsidRPr="000B3A8F" w:rsidRDefault="009914CE" w:rsidP="000B3A8F">
      <w:pPr>
        <w:spacing w:line="340" w:lineRule="exact"/>
        <w:jc w:val="center"/>
        <w:rPr>
          <w:b/>
          <w:sz w:val="22"/>
          <w:szCs w:val="22"/>
        </w:rPr>
      </w:pPr>
      <w:r w:rsidRPr="000B3A8F">
        <w:rPr>
          <w:b/>
          <w:sz w:val="22"/>
          <w:szCs w:val="22"/>
        </w:rPr>
        <w:t>QU</w:t>
      </w:r>
      <w:r w:rsidR="007E4702" w:rsidRPr="000B3A8F">
        <w:rPr>
          <w:b/>
          <w:sz w:val="22"/>
          <w:szCs w:val="22"/>
        </w:rPr>
        <w:t>A</w:t>
      </w:r>
      <w:r w:rsidRPr="000B3A8F">
        <w:rPr>
          <w:b/>
          <w:sz w:val="22"/>
          <w:szCs w:val="22"/>
        </w:rPr>
        <w:t>CH DOANH NGHI</w:t>
      </w:r>
      <w:r w:rsidR="007E4702" w:rsidRPr="000B3A8F">
        <w:rPr>
          <w:b/>
          <w:sz w:val="22"/>
          <w:szCs w:val="22"/>
        </w:rPr>
        <w:t>E</w:t>
      </w:r>
      <w:r w:rsidRPr="000B3A8F">
        <w:rPr>
          <w:b/>
          <w:sz w:val="22"/>
          <w:szCs w:val="22"/>
        </w:rPr>
        <w:t>P</w:t>
      </w:r>
    </w:p>
    <w:p w:rsidR="005E4AAE" w:rsidRPr="000B3A8F" w:rsidRDefault="005E4AAE" w:rsidP="000B3A8F">
      <w:pPr>
        <w:spacing w:line="340" w:lineRule="exact"/>
        <w:jc w:val="center"/>
        <w:rPr>
          <w:sz w:val="22"/>
          <w:szCs w:val="22"/>
        </w:rPr>
      </w:pPr>
    </w:p>
    <w:p w:rsidR="005E4AAE" w:rsidRDefault="005E4AAE" w:rsidP="000B3A8F">
      <w:pPr>
        <w:spacing w:line="340" w:lineRule="exact"/>
        <w:jc w:val="center"/>
        <w:rPr>
          <w:sz w:val="22"/>
          <w:szCs w:val="22"/>
        </w:rPr>
      </w:pPr>
    </w:p>
    <w:p w:rsidR="003B276F" w:rsidRDefault="003B276F" w:rsidP="000B3A8F">
      <w:pPr>
        <w:spacing w:line="340" w:lineRule="exact"/>
        <w:jc w:val="center"/>
        <w:rPr>
          <w:sz w:val="22"/>
          <w:szCs w:val="22"/>
        </w:rPr>
      </w:pPr>
    </w:p>
    <w:p w:rsidR="003B276F" w:rsidRPr="000B3A8F" w:rsidRDefault="003B276F" w:rsidP="000B3A8F">
      <w:pPr>
        <w:spacing w:line="340" w:lineRule="exact"/>
        <w:jc w:val="center"/>
        <w:rPr>
          <w:sz w:val="22"/>
          <w:szCs w:val="22"/>
        </w:rPr>
      </w:pPr>
    </w:p>
    <w:p w:rsidR="007E4702" w:rsidRPr="000B3A8F" w:rsidRDefault="007E4702" w:rsidP="000B3A8F">
      <w:pPr>
        <w:spacing w:line="340" w:lineRule="exact"/>
        <w:jc w:val="center"/>
        <w:rPr>
          <w:b/>
          <w:color w:val="000000" w:themeColor="text1"/>
          <w:sz w:val="22"/>
          <w:szCs w:val="22"/>
        </w:rPr>
      </w:pPr>
      <w:r w:rsidRPr="000B3A8F">
        <w:rPr>
          <w:b/>
          <w:color w:val="000000" w:themeColor="text1"/>
          <w:sz w:val="22"/>
          <w:szCs w:val="22"/>
        </w:rPr>
        <w:t xml:space="preserve">THE IMPACT OF MACRO-ENVIRONMENT TO EXCHANGE RATE PASS-THROUGH </w:t>
      </w:r>
    </w:p>
    <w:p w:rsidR="005E4AAE" w:rsidRPr="000B3A8F" w:rsidRDefault="007E4702" w:rsidP="000B3A8F">
      <w:pPr>
        <w:spacing w:line="340" w:lineRule="exact"/>
        <w:jc w:val="center"/>
        <w:rPr>
          <w:b/>
          <w:color w:val="000000" w:themeColor="text1"/>
          <w:sz w:val="22"/>
          <w:szCs w:val="22"/>
        </w:rPr>
      </w:pPr>
      <w:r w:rsidRPr="000B3A8F">
        <w:rPr>
          <w:b/>
          <w:color w:val="000000" w:themeColor="text1"/>
          <w:sz w:val="22"/>
          <w:szCs w:val="22"/>
        </w:rPr>
        <w:t>IN VIETNAM</w:t>
      </w:r>
    </w:p>
    <w:p w:rsidR="007E4702" w:rsidRPr="000B3A8F" w:rsidRDefault="007E4702" w:rsidP="000B3A8F">
      <w:pPr>
        <w:spacing w:line="340" w:lineRule="exact"/>
        <w:jc w:val="center"/>
        <w:rPr>
          <w:sz w:val="22"/>
          <w:szCs w:val="22"/>
        </w:rPr>
      </w:pPr>
    </w:p>
    <w:p w:rsidR="007E4702" w:rsidRPr="000B3A8F" w:rsidRDefault="007E4702" w:rsidP="000B3A8F">
      <w:pPr>
        <w:spacing w:line="340" w:lineRule="exact"/>
        <w:ind w:firstLine="1701"/>
        <w:rPr>
          <w:rStyle w:val="fontstyle21"/>
          <w:rFonts w:ascii="Times New Roman" w:hAnsi="Times New Roman"/>
          <w:sz w:val="22"/>
          <w:szCs w:val="22"/>
        </w:rPr>
      </w:pPr>
      <w:r w:rsidRPr="000B3A8F">
        <w:rPr>
          <w:rStyle w:val="fontstyle01"/>
          <w:rFonts w:ascii="Times New Roman" w:hAnsi="Times New Roman"/>
          <w:sz w:val="22"/>
          <w:szCs w:val="22"/>
        </w:rPr>
        <w:t xml:space="preserve">Major: </w:t>
      </w:r>
      <w:r w:rsidRPr="000B3A8F">
        <w:rPr>
          <w:rStyle w:val="fontstyle21"/>
          <w:rFonts w:ascii="Times New Roman" w:hAnsi="Times New Roman"/>
          <w:sz w:val="22"/>
          <w:szCs w:val="22"/>
        </w:rPr>
        <w:t>Finance – Banking</w:t>
      </w:r>
    </w:p>
    <w:p w:rsidR="00412269" w:rsidRPr="000B3A8F" w:rsidRDefault="007E4702" w:rsidP="000B3A8F">
      <w:pPr>
        <w:spacing w:line="340" w:lineRule="exact"/>
        <w:ind w:firstLine="1701"/>
        <w:rPr>
          <w:sz w:val="22"/>
          <w:szCs w:val="22"/>
        </w:rPr>
      </w:pPr>
      <w:r w:rsidRPr="000B3A8F">
        <w:rPr>
          <w:sz w:val="22"/>
          <w:szCs w:val="22"/>
        </w:rPr>
        <w:t>Code</w:t>
      </w:r>
      <w:r w:rsidR="00412269" w:rsidRPr="000B3A8F">
        <w:rPr>
          <w:sz w:val="22"/>
          <w:szCs w:val="22"/>
        </w:rPr>
        <w:t xml:space="preserve">: </w:t>
      </w:r>
      <w:r w:rsidR="00412269" w:rsidRPr="000B3A8F">
        <w:rPr>
          <w:sz w:val="22"/>
          <w:szCs w:val="22"/>
        </w:rPr>
        <w:tab/>
        <w:t xml:space="preserve">        9340201</w:t>
      </w:r>
    </w:p>
    <w:p w:rsidR="005E4AAE" w:rsidRPr="000B3A8F" w:rsidRDefault="005E4AAE" w:rsidP="000B3A8F">
      <w:pPr>
        <w:spacing w:line="340" w:lineRule="exact"/>
        <w:jc w:val="center"/>
        <w:rPr>
          <w:sz w:val="22"/>
          <w:szCs w:val="22"/>
        </w:rPr>
      </w:pPr>
    </w:p>
    <w:p w:rsidR="00AE6A8C" w:rsidRPr="000B3A8F" w:rsidRDefault="00AE6A8C" w:rsidP="000B3A8F">
      <w:pPr>
        <w:spacing w:line="340" w:lineRule="exact"/>
        <w:jc w:val="center"/>
        <w:rPr>
          <w:sz w:val="22"/>
          <w:szCs w:val="22"/>
        </w:rPr>
      </w:pPr>
    </w:p>
    <w:p w:rsidR="005E4AAE" w:rsidRPr="000B3A8F" w:rsidRDefault="005E4AAE" w:rsidP="000B3A8F">
      <w:pPr>
        <w:spacing w:line="340" w:lineRule="exact"/>
        <w:ind w:firstLine="1890"/>
        <w:rPr>
          <w:sz w:val="22"/>
          <w:szCs w:val="22"/>
        </w:rPr>
      </w:pPr>
    </w:p>
    <w:p w:rsidR="005E4AAE" w:rsidRPr="000B3A8F" w:rsidRDefault="007E4702" w:rsidP="000B3A8F">
      <w:pPr>
        <w:spacing w:line="340" w:lineRule="exact"/>
        <w:jc w:val="center"/>
        <w:rPr>
          <w:b/>
          <w:sz w:val="22"/>
          <w:szCs w:val="22"/>
        </w:rPr>
      </w:pPr>
      <w:r w:rsidRPr="000B3A8F">
        <w:rPr>
          <w:rStyle w:val="fontstyle01"/>
          <w:rFonts w:ascii="Times New Roman" w:hAnsi="Times New Roman"/>
          <w:b/>
          <w:sz w:val="22"/>
          <w:szCs w:val="22"/>
        </w:rPr>
        <w:t>SUMMARY OF PH.D THESIS</w:t>
      </w:r>
    </w:p>
    <w:p w:rsidR="005E4AAE" w:rsidRPr="000B3A8F" w:rsidRDefault="005E4AAE" w:rsidP="000B3A8F">
      <w:pPr>
        <w:spacing w:line="340" w:lineRule="exact"/>
        <w:rPr>
          <w:sz w:val="22"/>
          <w:szCs w:val="22"/>
        </w:rPr>
      </w:pPr>
    </w:p>
    <w:p w:rsidR="00AE6A8C" w:rsidRPr="000B3A8F" w:rsidRDefault="00AE6A8C" w:rsidP="000B3A8F">
      <w:pPr>
        <w:spacing w:line="340" w:lineRule="exact"/>
        <w:rPr>
          <w:sz w:val="22"/>
          <w:szCs w:val="22"/>
        </w:rPr>
      </w:pPr>
    </w:p>
    <w:p w:rsidR="00A21A80" w:rsidRPr="000B3A8F" w:rsidRDefault="00A21A80" w:rsidP="000B3A8F">
      <w:pPr>
        <w:spacing w:line="340" w:lineRule="exact"/>
        <w:rPr>
          <w:sz w:val="22"/>
          <w:szCs w:val="22"/>
        </w:rPr>
      </w:pPr>
    </w:p>
    <w:p w:rsidR="00A21A80" w:rsidRPr="000B3A8F" w:rsidRDefault="00A21A80" w:rsidP="000B3A8F">
      <w:pPr>
        <w:spacing w:line="340" w:lineRule="exact"/>
        <w:rPr>
          <w:sz w:val="22"/>
          <w:szCs w:val="22"/>
        </w:rPr>
      </w:pPr>
    </w:p>
    <w:p w:rsidR="00A21A80" w:rsidRPr="000B3A8F" w:rsidRDefault="00A21A80" w:rsidP="000B3A8F">
      <w:pPr>
        <w:spacing w:line="340" w:lineRule="exact"/>
        <w:rPr>
          <w:sz w:val="22"/>
          <w:szCs w:val="22"/>
        </w:rPr>
      </w:pPr>
    </w:p>
    <w:p w:rsidR="00A21A80" w:rsidRDefault="00A21A80" w:rsidP="000B3A8F">
      <w:pPr>
        <w:spacing w:line="340" w:lineRule="exact"/>
        <w:rPr>
          <w:sz w:val="22"/>
          <w:szCs w:val="22"/>
        </w:rPr>
      </w:pPr>
    </w:p>
    <w:p w:rsidR="003B276F" w:rsidRPr="000B3A8F" w:rsidRDefault="003B276F" w:rsidP="000B3A8F">
      <w:pPr>
        <w:spacing w:line="340" w:lineRule="exact"/>
        <w:rPr>
          <w:sz w:val="22"/>
          <w:szCs w:val="22"/>
        </w:rPr>
      </w:pPr>
    </w:p>
    <w:p w:rsidR="00A21A80" w:rsidRPr="000B3A8F" w:rsidRDefault="00A21A80" w:rsidP="000B3A8F">
      <w:pPr>
        <w:spacing w:line="340" w:lineRule="exact"/>
        <w:rPr>
          <w:sz w:val="22"/>
          <w:szCs w:val="22"/>
        </w:rPr>
      </w:pPr>
    </w:p>
    <w:p w:rsidR="005E4AAE" w:rsidRPr="000B3A8F" w:rsidRDefault="007E4702" w:rsidP="000B3A8F">
      <w:pPr>
        <w:spacing w:line="340" w:lineRule="exact"/>
        <w:jc w:val="center"/>
        <w:rPr>
          <w:sz w:val="22"/>
          <w:szCs w:val="22"/>
        </w:rPr>
      </w:pPr>
      <w:r w:rsidRPr="000B3A8F">
        <w:rPr>
          <w:sz w:val="22"/>
          <w:szCs w:val="22"/>
        </w:rPr>
        <w:t xml:space="preserve">Ho Chi Minh City, </w:t>
      </w:r>
      <w:r w:rsidR="00E85277" w:rsidRPr="000B3A8F">
        <w:rPr>
          <w:sz w:val="22"/>
          <w:szCs w:val="22"/>
        </w:rPr>
        <w:t>2020</w:t>
      </w:r>
    </w:p>
    <w:p w:rsidR="00F8015D" w:rsidRPr="000B3A8F" w:rsidRDefault="007E4702" w:rsidP="000B3A8F">
      <w:pPr>
        <w:pStyle w:val="text"/>
        <w:tabs>
          <w:tab w:val="right" w:leader="dot" w:pos="5670"/>
        </w:tabs>
        <w:spacing w:line="340" w:lineRule="exact"/>
        <w:ind w:left="432" w:firstLine="0"/>
        <w:jc w:val="left"/>
        <w:rPr>
          <w:rFonts w:ascii="Times New Roman" w:hAnsi="Times New Roman"/>
          <w:b/>
          <w:bCs/>
          <w:color w:val="000000"/>
          <w:szCs w:val="22"/>
        </w:rPr>
      </w:pPr>
      <w:r w:rsidRPr="000B3A8F">
        <w:rPr>
          <w:rFonts w:ascii="Times New Roman" w:hAnsi="Times New Roman"/>
          <w:b/>
          <w:bCs/>
          <w:color w:val="000000"/>
          <w:szCs w:val="22"/>
        </w:rPr>
        <w:lastRenderedPageBreak/>
        <w:t>The thesis is carried out at</w:t>
      </w:r>
      <w:proofErr w:type="gramStart"/>
      <w:r w:rsidRPr="000B3A8F">
        <w:rPr>
          <w:rFonts w:ascii="Times New Roman" w:hAnsi="Times New Roman"/>
          <w:b/>
          <w:bCs/>
          <w:color w:val="000000"/>
          <w:szCs w:val="22"/>
        </w:rPr>
        <w:t>:</w:t>
      </w:r>
      <w:proofErr w:type="gramEnd"/>
      <w:r w:rsidRPr="000B3A8F">
        <w:rPr>
          <w:rFonts w:ascii="Times New Roman" w:hAnsi="Times New Roman"/>
          <w:b/>
          <w:bCs/>
          <w:color w:val="000000"/>
          <w:szCs w:val="22"/>
        </w:rPr>
        <w:br/>
      </w:r>
      <w:r w:rsidRPr="000B3A8F">
        <w:rPr>
          <w:rFonts w:ascii="Times New Roman" w:hAnsi="Times New Roman"/>
          <w:color w:val="000000"/>
          <w:szCs w:val="22"/>
        </w:rPr>
        <w:t>University of Economics Ho Chi Minh City</w:t>
      </w:r>
      <w:r w:rsidRPr="000B3A8F">
        <w:rPr>
          <w:rFonts w:ascii="Times New Roman" w:hAnsi="Times New Roman"/>
          <w:color w:val="000000"/>
          <w:szCs w:val="22"/>
        </w:rPr>
        <w:br/>
      </w:r>
      <w:r w:rsidRPr="000B3A8F">
        <w:rPr>
          <w:rFonts w:ascii="Times New Roman" w:hAnsi="Times New Roman"/>
          <w:b/>
          <w:bCs/>
          <w:color w:val="000000"/>
          <w:szCs w:val="22"/>
        </w:rPr>
        <w:t>Academic supervisors:</w:t>
      </w:r>
    </w:p>
    <w:p w:rsidR="00F744D6" w:rsidRPr="000B3A8F" w:rsidRDefault="00F8015D" w:rsidP="000B3A8F">
      <w:pPr>
        <w:pStyle w:val="text"/>
        <w:tabs>
          <w:tab w:val="right" w:leader="dot" w:pos="5670"/>
        </w:tabs>
        <w:spacing w:line="340" w:lineRule="exact"/>
        <w:ind w:left="432" w:firstLine="0"/>
        <w:jc w:val="left"/>
        <w:rPr>
          <w:rFonts w:ascii="Times New Roman" w:hAnsi="Times New Roman"/>
          <w:szCs w:val="22"/>
        </w:rPr>
      </w:pPr>
      <w:r w:rsidRPr="000B3A8F">
        <w:rPr>
          <w:rFonts w:ascii="Times New Roman" w:hAnsi="Times New Roman"/>
          <w:b/>
          <w:szCs w:val="22"/>
          <w:shd w:val="clear" w:color="auto" w:fill="FFFFFF"/>
        </w:rPr>
        <w:t>Assoc. Prof. Nguyen Thi Ngoc Trang</w:t>
      </w:r>
      <w:r w:rsidR="007E4702" w:rsidRPr="000B3A8F">
        <w:rPr>
          <w:rFonts w:ascii="Times New Roman" w:hAnsi="Times New Roman"/>
          <w:b/>
          <w:bCs/>
          <w:color w:val="000000"/>
          <w:szCs w:val="22"/>
        </w:rPr>
        <w:br/>
      </w:r>
      <w:r w:rsidRPr="000B3A8F">
        <w:rPr>
          <w:rFonts w:ascii="Times New Roman" w:hAnsi="Times New Roman"/>
          <w:color w:val="000000"/>
          <w:szCs w:val="22"/>
        </w:rPr>
        <w:t xml:space="preserve">Reviewer </w:t>
      </w:r>
      <w:proofErr w:type="gramStart"/>
      <w:r w:rsidR="00F744D6" w:rsidRPr="000B3A8F">
        <w:rPr>
          <w:rFonts w:ascii="Times New Roman" w:hAnsi="Times New Roman"/>
          <w:szCs w:val="22"/>
        </w:rPr>
        <w:t>1 :</w:t>
      </w:r>
      <w:proofErr w:type="gramEnd"/>
      <w:r w:rsidR="00F744D6" w:rsidRPr="000B3A8F">
        <w:rPr>
          <w:rFonts w:ascii="Times New Roman" w:hAnsi="Times New Roman"/>
          <w:szCs w:val="22"/>
        </w:rPr>
        <w:tab/>
      </w:r>
    </w:p>
    <w:p w:rsidR="00F744D6" w:rsidRPr="000B3A8F" w:rsidRDefault="00F744D6" w:rsidP="000B3A8F">
      <w:pPr>
        <w:pStyle w:val="text"/>
        <w:tabs>
          <w:tab w:val="right" w:leader="dot" w:pos="5670"/>
        </w:tabs>
        <w:spacing w:line="340" w:lineRule="exact"/>
        <w:ind w:left="432" w:firstLine="0"/>
        <w:jc w:val="left"/>
        <w:rPr>
          <w:rFonts w:ascii="Times New Roman" w:hAnsi="Times New Roman"/>
          <w:szCs w:val="22"/>
        </w:rPr>
      </w:pPr>
      <w:r w:rsidRPr="000B3A8F">
        <w:rPr>
          <w:rFonts w:ascii="Times New Roman" w:hAnsi="Times New Roman"/>
          <w:szCs w:val="22"/>
        </w:rPr>
        <w:tab/>
      </w:r>
    </w:p>
    <w:p w:rsidR="00F744D6" w:rsidRPr="000B3A8F" w:rsidRDefault="00F8015D" w:rsidP="000B3A8F">
      <w:pPr>
        <w:pStyle w:val="text"/>
        <w:tabs>
          <w:tab w:val="right" w:leader="dot" w:pos="5670"/>
        </w:tabs>
        <w:spacing w:line="340" w:lineRule="exact"/>
        <w:ind w:left="432" w:firstLine="0"/>
        <w:jc w:val="left"/>
        <w:rPr>
          <w:rFonts w:ascii="Times New Roman" w:hAnsi="Times New Roman"/>
          <w:szCs w:val="22"/>
        </w:rPr>
      </w:pPr>
      <w:r w:rsidRPr="000B3A8F">
        <w:rPr>
          <w:rStyle w:val="fontstyle01"/>
          <w:rFonts w:ascii="Times New Roman" w:hAnsi="Times New Roman"/>
          <w:sz w:val="22"/>
          <w:szCs w:val="22"/>
        </w:rPr>
        <w:t>Reviewer 2</w:t>
      </w:r>
      <w:r w:rsidR="00F744D6" w:rsidRPr="000B3A8F">
        <w:rPr>
          <w:rFonts w:ascii="Times New Roman" w:hAnsi="Times New Roman"/>
          <w:szCs w:val="22"/>
        </w:rPr>
        <w:t>:</w:t>
      </w:r>
      <w:r w:rsidR="00F744D6" w:rsidRPr="000B3A8F">
        <w:rPr>
          <w:rFonts w:ascii="Times New Roman" w:hAnsi="Times New Roman"/>
          <w:szCs w:val="22"/>
        </w:rPr>
        <w:tab/>
      </w:r>
    </w:p>
    <w:p w:rsidR="00F744D6" w:rsidRPr="000B3A8F" w:rsidRDefault="00F744D6" w:rsidP="000B3A8F">
      <w:pPr>
        <w:pStyle w:val="text"/>
        <w:tabs>
          <w:tab w:val="right" w:leader="dot" w:pos="5670"/>
        </w:tabs>
        <w:spacing w:line="340" w:lineRule="exact"/>
        <w:ind w:left="432" w:firstLine="0"/>
        <w:jc w:val="left"/>
        <w:rPr>
          <w:rFonts w:ascii="Times New Roman" w:hAnsi="Times New Roman"/>
          <w:szCs w:val="22"/>
        </w:rPr>
      </w:pPr>
      <w:r w:rsidRPr="000B3A8F">
        <w:rPr>
          <w:rFonts w:ascii="Times New Roman" w:hAnsi="Times New Roman"/>
          <w:szCs w:val="22"/>
        </w:rPr>
        <w:tab/>
      </w:r>
    </w:p>
    <w:p w:rsidR="00F744D6" w:rsidRPr="000B3A8F" w:rsidRDefault="00F8015D" w:rsidP="000B3A8F">
      <w:pPr>
        <w:pStyle w:val="text"/>
        <w:tabs>
          <w:tab w:val="right" w:leader="dot" w:pos="5670"/>
        </w:tabs>
        <w:spacing w:line="340" w:lineRule="exact"/>
        <w:ind w:left="432" w:firstLine="0"/>
        <w:jc w:val="left"/>
        <w:rPr>
          <w:rFonts w:ascii="Times New Roman" w:hAnsi="Times New Roman"/>
          <w:szCs w:val="22"/>
        </w:rPr>
      </w:pPr>
      <w:r w:rsidRPr="000B3A8F">
        <w:rPr>
          <w:rStyle w:val="fontstyle01"/>
          <w:rFonts w:ascii="Times New Roman" w:hAnsi="Times New Roman"/>
          <w:sz w:val="22"/>
          <w:szCs w:val="22"/>
        </w:rPr>
        <w:t>Reviewer 3</w:t>
      </w:r>
      <w:r w:rsidR="00F744D6" w:rsidRPr="000B3A8F">
        <w:rPr>
          <w:rFonts w:ascii="Times New Roman" w:hAnsi="Times New Roman"/>
          <w:szCs w:val="22"/>
        </w:rPr>
        <w:t>:</w:t>
      </w:r>
      <w:r w:rsidR="00F744D6" w:rsidRPr="000B3A8F">
        <w:rPr>
          <w:rFonts w:ascii="Times New Roman" w:hAnsi="Times New Roman"/>
          <w:szCs w:val="22"/>
        </w:rPr>
        <w:tab/>
      </w:r>
    </w:p>
    <w:p w:rsidR="00F744D6" w:rsidRPr="000B3A8F" w:rsidRDefault="00F744D6" w:rsidP="000B3A8F">
      <w:pPr>
        <w:pStyle w:val="text"/>
        <w:tabs>
          <w:tab w:val="right" w:leader="dot" w:pos="5670"/>
        </w:tabs>
        <w:spacing w:line="340" w:lineRule="exact"/>
        <w:ind w:left="432" w:firstLine="0"/>
        <w:jc w:val="left"/>
        <w:rPr>
          <w:rFonts w:ascii="Times New Roman" w:hAnsi="Times New Roman"/>
          <w:szCs w:val="22"/>
        </w:rPr>
      </w:pPr>
      <w:r w:rsidRPr="000B3A8F">
        <w:rPr>
          <w:rFonts w:ascii="Times New Roman" w:hAnsi="Times New Roman"/>
          <w:szCs w:val="22"/>
        </w:rPr>
        <w:tab/>
      </w:r>
    </w:p>
    <w:p w:rsidR="00F8015D" w:rsidRPr="000B3A8F" w:rsidRDefault="00F8015D" w:rsidP="000B3A8F">
      <w:pPr>
        <w:pStyle w:val="text"/>
        <w:tabs>
          <w:tab w:val="right" w:leader="dot" w:pos="5670"/>
        </w:tabs>
        <w:spacing w:line="340" w:lineRule="exact"/>
        <w:ind w:left="432" w:firstLine="0"/>
        <w:jc w:val="left"/>
        <w:rPr>
          <w:rFonts w:ascii="Times New Roman" w:hAnsi="Times New Roman"/>
          <w:color w:val="000000"/>
          <w:szCs w:val="22"/>
        </w:rPr>
      </w:pPr>
      <w:r w:rsidRPr="000B3A8F">
        <w:rPr>
          <w:rFonts w:ascii="Times New Roman" w:hAnsi="Times New Roman"/>
          <w:color w:val="000000"/>
          <w:szCs w:val="22"/>
        </w:rPr>
        <w:t>The thesis will be defended at the Doctorate Thesis Committee</w:t>
      </w:r>
      <w:r w:rsidRPr="000B3A8F">
        <w:rPr>
          <w:rFonts w:ascii="Times New Roman" w:hAnsi="Times New Roman"/>
          <w:color w:val="000000"/>
          <w:szCs w:val="22"/>
        </w:rPr>
        <w:br/>
        <w:t>of Examiners of the University of Economics Ho Chi Minh City</w:t>
      </w:r>
      <w:r w:rsidRPr="000B3A8F">
        <w:rPr>
          <w:rFonts w:ascii="Times New Roman" w:hAnsi="Times New Roman"/>
          <w:color w:val="000000"/>
          <w:szCs w:val="22"/>
        </w:rPr>
        <w:br/>
        <w:t xml:space="preserve">at………… on </w:t>
      </w:r>
      <w:proofErr w:type="gramStart"/>
      <w:r w:rsidRPr="000B3A8F">
        <w:rPr>
          <w:rFonts w:ascii="Times New Roman" w:hAnsi="Times New Roman"/>
          <w:color w:val="000000"/>
          <w:szCs w:val="22"/>
        </w:rPr>
        <w:t>………....</w:t>
      </w:r>
      <w:proofErr w:type="gramEnd"/>
    </w:p>
    <w:p w:rsidR="00F744D6" w:rsidRPr="000B3A8F" w:rsidRDefault="00F8015D" w:rsidP="000B3A8F">
      <w:pPr>
        <w:pStyle w:val="text"/>
        <w:tabs>
          <w:tab w:val="right" w:leader="dot" w:pos="5670"/>
        </w:tabs>
        <w:spacing w:line="340" w:lineRule="exact"/>
        <w:ind w:left="432" w:firstLine="0"/>
        <w:jc w:val="left"/>
        <w:rPr>
          <w:rFonts w:ascii="Times New Roman" w:hAnsi="Times New Roman"/>
          <w:szCs w:val="22"/>
        </w:rPr>
      </w:pPr>
      <w:r w:rsidRPr="000B3A8F">
        <w:rPr>
          <w:rStyle w:val="fontstyle01"/>
          <w:rFonts w:ascii="Times New Roman" w:hAnsi="Times New Roman"/>
          <w:sz w:val="22"/>
          <w:szCs w:val="22"/>
        </w:rPr>
        <w:t xml:space="preserve">The thesis </w:t>
      </w:r>
      <w:proofErr w:type="gramStart"/>
      <w:r w:rsidRPr="000B3A8F">
        <w:rPr>
          <w:rStyle w:val="fontstyle01"/>
          <w:rFonts w:ascii="Times New Roman" w:hAnsi="Times New Roman"/>
          <w:sz w:val="22"/>
          <w:szCs w:val="22"/>
        </w:rPr>
        <w:t>can be referred</w:t>
      </w:r>
      <w:proofErr w:type="gramEnd"/>
      <w:r w:rsidRPr="000B3A8F">
        <w:rPr>
          <w:rStyle w:val="fontstyle01"/>
          <w:rFonts w:ascii="Times New Roman" w:hAnsi="Times New Roman"/>
          <w:sz w:val="22"/>
          <w:szCs w:val="22"/>
        </w:rPr>
        <w:t xml:space="preserve"> at the library</w:t>
      </w:r>
      <w:r w:rsidR="00F744D6" w:rsidRPr="000B3A8F">
        <w:rPr>
          <w:rFonts w:ascii="Times New Roman" w:hAnsi="Times New Roman"/>
          <w:szCs w:val="22"/>
        </w:rPr>
        <w:t xml:space="preserve">: </w:t>
      </w:r>
      <w:r w:rsidR="00F744D6" w:rsidRPr="000B3A8F">
        <w:rPr>
          <w:rFonts w:ascii="Times New Roman" w:hAnsi="Times New Roman"/>
          <w:szCs w:val="22"/>
        </w:rPr>
        <w:tab/>
      </w:r>
    </w:p>
    <w:p w:rsidR="00F744D6" w:rsidRPr="000B3A8F" w:rsidRDefault="00F744D6" w:rsidP="000B3A8F">
      <w:pPr>
        <w:pStyle w:val="text"/>
        <w:tabs>
          <w:tab w:val="right" w:leader="dot" w:pos="5670"/>
        </w:tabs>
        <w:spacing w:line="340" w:lineRule="exact"/>
        <w:ind w:left="432" w:firstLine="0"/>
        <w:jc w:val="left"/>
        <w:rPr>
          <w:rFonts w:ascii="Times New Roman" w:hAnsi="Times New Roman"/>
          <w:szCs w:val="22"/>
        </w:rPr>
      </w:pPr>
      <w:r w:rsidRPr="000B3A8F">
        <w:rPr>
          <w:rFonts w:ascii="Times New Roman" w:hAnsi="Times New Roman"/>
          <w:szCs w:val="22"/>
        </w:rPr>
        <w:tab/>
      </w:r>
    </w:p>
    <w:p w:rsidR="006A669B" w:rsidRPr="000B3A8F" w:rsidRDefault="006A669B" w:rsidP="000B3A8F">
      <w:pPr>
        <w:spacing w:line="340" w:lineRule="exact"/>
        <w:rPr>
          <w:sz w:val="22"/>
          <w:szCs w:val="22"/>
        </w:rPr>
      </w:pPr>
      <w:r w:rsidRPr="000B3A8F">
        <w:rPr>
          <w:sz w:val="22"/>
          <w:szCs w:val="22"/>
        </w:rPr>
        <w:br w:type="page"/>
      </w:r>
    </w:p>
    <w:p w:rsidR="003B276F" w:rsidRDefault="003B276F" w:rsidP="000B3A8F">
      <w:pPr>
        <w:pStyle w:val="Heading1"/>
        <w:spacing w:line="340" w:lineRule="exact"/>
        <w:jc w:val="center"/>
        <w:rPr>
          <w:rFonts w:ascii="Times New Roman" w:hAnsi="Times New Roman" w:cs="Times New Roman"/>
          <w:b/>
          <w:color w:val="auto"/>
          <w:sz w:val="22"/>
          <w:szCs w:val="22"/>
        </w:rPr>
        <w:sectPr w:rsidR="003B276F" w:rsidSect="003B276F">
          <w:pgSz w:w="8391" w:h="11907" w:code="11"/>
          <w:pgMar w:top="1138" w:right="1138" w:bottom="1138" w:left="1138" w:header="720" w:footer="720"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20"/>
          <w:docGrid w:linePitch="360"/>
        </w:sectPr>
      </w:pPr>
    </w:p>
    <w:p w:rsidR="006A669B" w:rsidRPr="000B3A8F" w:rsidRDefault="00F8015D" w:rsidP="000B3A8F">
      <w:pPr>
        <w:pStyle w:val="Heading1"/>
        <w:spacing w:line="340" w:lineRule="exact"/>
        <w:jc w:val="center"/>
        <w:rPr>
          <w:rFonts w:ascii="Times New Roman" w:hAnsi="Times New Roman" w:cs="Times New Roman"/>
          <w:b/>
          <w:color w:val="auto"/>
          <w:sz w:val="22"/>
          <w:szCs w:val="22"/>
        </w:rPr>
      </w:pPr>
      <w:r w:rsidRPr="000B3A8F">
        <w:rPr>
          <w:rFonts w:ascii="Times New Roman" w:hAnsi="Times New Roman" w:cs="Times New Roman"/>
          <w:b/>
          <w:color w:val="auto"/>
          <w:sz w:val="22"/>
          <w:szCs w:val="22"/>
        </w:rPr>
        <w:lastRenderedPageBreak/>
        <w:t>Chapter</w:t>
      </w:r>
      <w:r w:rsidR="006A669B" w:rsidRPr="000B3A8F">
        <w:rPr>
          <w:rFonts w:ascii="Times New Roman" w:hAnsi="Times New Roman" w:cs="Times New Roman"/>
          <w:b/>
          <w:color w:val="auto"/>
          <w:sz w:val="22"/>
          <w:szCs w:val="22"/>
        </w:rPr>
        <w:t xml:space="preserve"> 1: </w:t>
      </w:r>
      <w:r w:rsidRPr="000B3A8F">
        <w:rPr>
          <w:rFonts w:ascii="Times New Roman" w:hAnsi="Times New Roman" w:cs="Times New Roman"/>
          <w:b/>
          <w:color w:val="auto"/>
          <w:sz w:val="22"/>
          <w:szCs w:val="22"/>
        </w:rPr>
        <w:t>INTRODUCTION</w:t>
      </w:r>
    </w:p>
    <w:p w:rsidR="006A669B" w:rsidRPr="000B3A8F" w:rsidRDefault="003777C8" w:rsidP="000B3A8F">
      <w:pPr>
        <w:pStyle w:val="Heading2"/>
        <w:spacing w:line="340" w:lineRule="exact"/>
        <w:rPr>
          <w:rFonts w:ascii="Times New Roman" w:hAnsi="Times New Roman" w:cs="Times New Roman"/>
          <w:b/>
          <w:color w:val="auto"/>
          <w:sz w:val="22"/>
          <w:szCs w:val="22"/>
        </w:rPr>
      </w:pPr>
      <w:bookmarkStart w:id="0" w:name="OLE_LINK5"/>
      <w:bookmarkStart w:id="1" w:name="OLE_LINK6"/>
      <w:bookmarkStart w:id="2" w:name="OLE_LINK7"/>
      <w:bookmarkStart w:id="3" w:name="OLE_LINK8"/>
      <w:bookmarkStart w:id="4" w:name="OLE_LINK9"/>
      <w:bookmarkStart w:id="5" w:name="OLE_LINK13"/>
      <w:r w:rsidRPr="000B3A8F">
        <w:rPr>
          <w:rFonts w:ascii="Times New Roman" w:hAnsi="Times New Roman" w:cs="Times New Roman"/>
          <w:b/>
          <w:color w:val="auto"/>
          <w:sz w:val="22"/>
          <w:szCs w:val="22"/>
        </w:rPr>
        <w:t xml:space="preserve">1.1 </w:t>
      </w:r>
      <w:r w:rsidR="00540B1B" w:rsidRPr="000B3A8F">
        <w:rPr>
          <w:rFonts w:ascii="Times New Roman" w:hAnsi="Times New Roman" w:cs="Times New Roman"/>
          <w:b/>
          <w:color w:val="auto"/>
          <w:sz w:val="22"/>
          <w:szCs w:val="22"/>
        </w:rPr>
        <w:t>Research background</w:t>
      </w:r>
    </w:p>
    <w:p w:rsidR="00921E65" w:rsidRPr="000B3A8F" w:rsidRDefault="003B69F5" w:rsidP="000B3A8F">
      <w:pPr>
        <w:pStyle w:val="text"/>
        <w:tabs>
          <w:tab w:val="right" w:leader="dot" w:pos="5670"/>
        </w:tabs>
        <w:spacing w:line="340" w:lineRule="exact"/>
        <w:ind w:firstLine="0"/>
        <w:rPr>
          <w:rFonts w:ascii="Times New Roman" w:hAnsi="Times New Roman"/>
          <w:szCs w:val="22"/>
        </w:rPr>
      </w:pPr>
      <w:r w:rsidRPr="000B3A8F">
        <w:rPr>
          <w:rFonts w:ascii="Times New Roman" w:hAnsi="Times New Roman"/>
          <w:szCs w:val="22"/>
        </w:rPr>
        <w:t>The year 2000 is a milestone marking 15 years of Vietnam's Doi Moi policy. In the period 2000 - 2018, the world and the Vietnamese econom</w:t>
      </w:r>
      <w:r w:rsidR="00AE6BDB" w:rsidRPr="000B3A8F">
        <w:rPr>
          <w:rFonts w:ascii="Times New Roman" w:hAnsi="Times New Roman"/>
          <w:szCs w:val="22"/>
        </w:rPr>
        <w:t xml:space="preserve">y experienced two major crises, such as </w:t>
      </w:r>
      <w:r w:rsidRPr="000B3A8F">
        <w:rPr>
          <w:rFonts w:ascii="Times New Roman" w:hAnsi="Times New Roman"/>
          <w:szCs w:val="22"/>
        </w:rPr>
        <w:t xml:space="preserve">the subprime debt crisis (2008) </w:t>
      </w:r>
      <w:r w:rsidR="00AE6BDB" w:rsidRPr="000B3A8F">
        <w:rPr>
          <w:rFonts w:ascii="Times New Roman" w:hAnsi="Times New Roman"/>
          <w:szCs w:val="22"/>
        </w:rPr>
        <w:t xml:space="preserve">from US </w:t>
      </w:r>
      <w:r w:rsidRPr="000B3A8F">
        <w:rPr>
          <w:rFonts w:ascii="Times New Roman" w:hAnsi="Times New Roman"/>
          <w:szCs w:val="22"/>
        </w:rPr>
        <w:t>and the public debt crisis (2010) from European countries. After these two crises, many countries' monetary and fiscal policies have changed drastically, many economic stimulus packages have poured into the economy to help recover and stabilize the economy. An inevitable result of this intervention is that the currencies of countries around the world are more volatil</w:t>
      </w:r>
      <w:r w:rsidR="00C770D5" w:rsidRPr="000B3A8F">
        <w:rPr>
          <w:rFonts w:ascii="Times New Roman" w:hAnsi="Times New Roman"/>
          <w:szCs w:val="22"/>
        </w:rPr>
        <w:t>ity and the Vietnam Dong is</w:t>
      </w:r>
      <w:r w:rsidRPr="000B3A8F">
        <w:rPr>
          <w:rFonts w:ascii="Times New Roman" w:hAnsi="Times New Roman"/>
          <w:szCs w:val="22"/>
        </w:rPr>
        <w:t xml:space="preserve"> affected. In the period 2000 - 2018, the State Bank implemented a more flexible exchange rate policy.</w:t>
      </w:r>
      <w:bookmarkStart w:id="6" w:name="OLE_LINK40"/>
      <w:bookmarkStart w:id="7" w:name="OLE_LINK41"/>
    </w:p>
    <w:p w:rsidR="00921E65" w:rsidRPr="000B3A8F" w:rsidRDefault="00C1564F" w:rsidP="000B3A8F">
      <w:pPr>
        <w:pStyle w:val="text"/>
        <w:tabs>
          <w:tab w:val="right" w:leader="dot" w:pos="5670"/>
        </w:tabs>
        <w:spacing w:line="340" w:lineRule="exact"/>
        <w:ind w:firstLine="0"/>
        <w:rPr>
          <w:rFonts w:ascii="Times New Roman" w:hAnsi="Times New Roman"/>
          <w:szCs w:val="22"/>
        </w:rPr>
      </w:pPr>
      <w:bookmarkStart w:id="8" w:name="OLE_LINK1"/>
      <w:bookmarkStart w:id="9" w:name="OLE_LINK3"/>
      <w:r w:rsidRPr="000B3A8F">
        <w:rPr>
          <w:rFonts w:ascii="Times New Roman" w:hAnsi="Times New Roman"/>
          <w:szCs w:val="22"/>
        </w:rPr>
        <w:t xml:space="preserve">Vietnam's inflation during this period was under pressure from the world economy and domestic pressure. Many interventions to stabilize exchange </w:t>
      </w:r>
      <w:proofErr w:type="gramStart"/>
      <w:r w:rsidRPr="000B3A8F">
        <w:rPr>
          <w:rFonts w:ascii="Times New Roman" w:hAnsi="Times New Roman"/>
          <w:szCs w:val="22"/>
        </w:rPr>
        <w:t>rates,</w:t>
      </w:r>
      <w:proofErr w:type="gramEnd"/>
      <w:r w:rsidRPr="000B3A8F">
        <w:rPr>
          <w:rFonts w:ascii="Times New Roman" w:hAnsi="Times New Roman"/>
          <w:szCs w:val="22"/>
        </w:rPr>
        <w:t xml:space="preserve"> stabilize prices and macroeconomics have been implemented by the Government and the State Bank of Vietnam during this period. Changes in exchange rates are an important input factor affecting the macroeconomic situation especially the level of inflation in the economy. The period 2000 - 2018 with many </w:t>
      </w:r>
      <w:proofErr w:type="gramStart"/>
      <w:r w:rsidRPr="000B3A8F">
        <w:rPr>
          <w:rFonts w:ascii="Times New Roman" w:hAnsi="Times New Roman"/>
          <w:szCs w:val="22"/>
        </w:rPr>
        <w:t>ups and downs</w:t>
      </w:r>
      <w:proofErr w:type="gramEnd"/>
      <w:r w:rsidRPr="000B3A8F">
        <w:rPr>
          <w:rFonts w:ascii="Times New Roman" w:hAnsi="Times New Roman"/>
          <w:szCs w:val="22"/>
        </w:rPr>
        <w:t xml:space="preserve"> showed the close relationship between inflation and exchange rates in Vietnam, this relationship is called by economists as exchange rate transmission.</w:t>
      </w:r>
      <w:bookmarkEnd w:id="6"/>
      <w:bookmarkEnd w:id="7"/>
    </w:p>
    <w:p w:rsidR="00C1564F" w:rsidRPr="000B3A8F" w:rsidRDefault="00EF0C22" w:rsidP="000B3A8F">
      <w:pPr>
        <w:pStyle w:val="text"/>
        <w:tabs>
          <w:tab w:val="right" w:leader="dot" w:pos="5670"/>
        </w:tabs>
        <w:spacing w:line="340" w:lineRule="exact"/>
        <w:ind w:firstLine="0"/>
        <w:rPr>
          <w:rFonts w:ascii="Times New Roman" w:hAnsi="Times New Roman"/>
          <w:szCs w:val="22"/>
        </w:rPr>
      </w:pPr>
      <w:bookmarkStart w:id="10" w:name="OLE_LINK21"/>
      <w:bookmarkStart w:id="11" w:name="OLE_LINK25"/>
      <w:bookmarkEnd w:id="8"/>
      <w:bookmarkEnd w:id="9"/>
      <w:r w:rsidRPr="000B3A8F">
        <w:rPr>
          <w:rFonts w:ascii="Times New Roman" w:hAnsi="Times New Roman"/>
          <w:szCs w:val="22"/>
        </w:rPr>
        <w:t>Exchange rate pass-</w:t>
      </w:r>
      <w:r w:rsidR="00C1564F" w:rsidRPr="000B3A8F">
        <w:rPr>
          <w:rFonts w:ascii="Times New Roman" w:hAnsi="Times New Roman"/>
          <w:szCs w:val="22"/>
        </w:rPr>
        <w:t>through (ERPT) is the percentage change in domesti</w:t>
      </w:r>
      <w:r w:rsidRPr="000B3A8F">
        <w:rPr>
          <w:rFonts w:ascii="Times New Roman" w:hAnsi="Times New Roman"/>
          <w:szCs w:val="22"/>
        </w:rPr>
        <w:t xml:space="preserve">c prices (import, manufacturing, </w:t>
      </w:r>
      <w:r w:rsidR="00C1564F" w:rsidRPr="000B3A8F">
        <w:rPr>
          <w:rFonts w:ascii="Times New Roman" w:hAnsi="Times New Roman"/>
          <w:szCs w:val="22"/>
        </w:rPr>
        <w:t>and consumer prices) in local currencies when the nom</w:t>
      </w:r>
      <w:r w:rsidR="00DA1DAC" w:rsidRPr="000B3A8F">
        <w:rPr>
          <w:rFonts w:ascii="Times New Roman" w:hAnsi="Times New Roman"/>
          <w:szCs w:val="22"/>
        </w:rPr>
        <w:t>inal exchange rate changes 1</w:t>
      </w:r>
      <w:r w:rsidR="00C1564F" w:rsidRPr="000B3A8F">
        <w:rPr>
          <w:rFonts w:ascii="Times New Roman" w:hAnsi="Times New Roman"/>
          <w:szCs w:val="22"/>
        </w:rPr>
        <w:t xml:space="preserve">%. If the price </w:t>
      </w:r>
      <w:r w:rsidR="003F0923">
        <w:rPr>
          <w:rFonts w:ascii="Times New Roman" w:hAnsi="Times New Roman"/>
          <w:szCs w:val="22"/>
        </w:rPr>
        <w:lastRenderedPageBreak/>
        <w:t>reacts in a 1:</w:t>
      </w:r>
      <w:r w:rsidR="00C1564F" w:rsidRPr="000B3A8F">
        <w:rPr>
          <w:rFonts w:ascii="Times New Roman" w:hAnsi="Times New Roman"/>
          <w:szCs w:val="22"/>
        </w:rPr>
        <w:t xml:space="preserve">1 ratio is called complete </w:t>
      </w:r>
      <w:r w:rsidR="00DA1DAC" w:rsidRPr="000B3A8F">
        <w:rPr>
          <w:rFonts w:ascii="Times New Roman" w:hAnsi="Times New Roman"/>
          <w:szCs w:val="22"/>
        </w:rPr>
        <w:t>pass-through</w:t>
      </w:r>
      <w:r w:rsidR="00C1564F" w:rsidRPr="000B3A8F">
        <w:rPr>
          <w:rFonts w:ascii="Times New Roman" w:hAnsi="Times New Roman"/>
          <w:szCs w:val="22"/>
        </w:rPr>
        <w:t xml:space="preserve">, if the transmission level is less than </w:t>
      </w:r>
      <w:proofErr w:type="gramStart"/>
      <w:r w:rsidR="00C1564F" w:rsidRPr="000B3A8F">
        <w:rPr>
          <w:rFonts w:ascii="Times New Roman" w:hAnsi="Times New Roman"/>
          <w:szCs w:val="22"/>
        </w:rPr>
        <w:t>1</w:t>
      </w:r>
      <w:proofErr w:type="gramEnd"/>
      <w:r w:rsidR="00C1564F" w:rsidRPr="000B3A8F">
        <w:rPr>
          <w:rFonts w:ascii="Times New Roman" w:hAnsi="Times New Roman"/>
          <w:szCs w:val="22"/>
        </w:rPr>
        <w:t xml:space="preserve"> is called partial </w:t>
      </w:r>
      <w:r w:rsidR="00004830" w:rsidRPr="000B3A8F">
        <w:rPr>
          <w:rFonts w:ascii="Times New Roman" w:hAnsi="Times New Roman"/>
          <w:szCs w:val="22"/>
        </w:rPr>
        <w:t>pass-through.</w:t>
      </w:r>
    </w:p>
    <w:bookmarkEnd w:id="0"/>
    <w:bookmarkEnd w:id="1"/>
    <w:bookmarkEnd w:id="2"/>
    <w:bookmarkEnd w:id="3"/>
    <w:bookmarkEnd w:id="4"/>
    <w:bookmarkEnd w:id="5"/>
    <w:bookmarkEnd w:id="10"/>
    <w:bookmarkEnd w:id="11"/>
    <w:p w:rsidR="006A669B" w:rsidRPr="000B3A8F" w:rsidRDefault="003777C8" w:rsidP="000B3A8F">
      <w:pPr>
        <w:pStyle w:val="Heading2"/>
        <w:spacing w:line="340" w:lineRule="exact"/>
        <w:rPr>
          <w:rFonts w:ascii="Times New Roman" w:hAnsi="Times New Roman" w:cs="Times New Roman"/>
          <w:b/>
          <w:color w:val="auto"/>
          <w:sz w:val="22"/>
          <w:szCs w:val="22"/>
        </w:rPr>
      </w:pPr>
      <w:r w:rsidRPr="000B3A8F">
        <w:rPr>
          <w:rFonts w:ascii="Times New Roman" w:hAnsi="Times New Roman" w:cs="Times New Roman"/>
          <w:b/>
          <w:color w:val="auto"/>
          <w:sz w:val="22"/>
          <w:szCs w:val="22"/>
        </w:rPr>
        <w:t xml:space="preserve">1.2 </w:t>
      </w:r>
      <w:r w:rsidR="007634BB" w:rsidRPr="000B3A8F">
        <w:rPr>
          <w:rFonts w:ascii="Times New Roman" w:hAnsi="Times New Roman" w:cs="Times New Roman"/>
          <w:b/>
          <w:color w:val="auto"/>
          <w:sz w:val="22"/>
          <w:szCs w:val="22"/>
        </w:rPr>
        <w:t>Reasearch gaps</w:t>
      </w:r>
    </w:p>
    <w:p w:rsidR="00E700A4" w:rsidRPr="000B3A8F" w:rsidRDefault="00EF0C22" w:rsidP="000B3A8F">
      <w:pPr>
        <w:pStyle w:val="text"/>
        <w:tabs>
          <w:tab w:val="right" w:leader="dot" w:pos="5670"/>
        </w:tabs>
        <w:spacing w:line="340" w:lineRule="exact"/>
        <w:ind w:firstLine="0"/>
        <w:rPr>
          <w:rFonts w:ascii="Times New Roman" w:hAnsi="Times New Roman"/>
          <w:szCs w:val="22"/>
        </w:rPr>
      </w:pPr>
      <w:bookmarkStart w:id="12" w:name="OLE_LINK26"/>
      <w:bookmarkStart w:id="13" w:name="OLE_LINK27"/>
      <w:r w:rsidRPr="000B3A8F">
        <w:rPr>
          <w:rFonts w:ascii="Times New Roman" w:hAnsi="Times New Roman"/>
          <w:szCs w:val="22"/>
        </w:rPr>
        <w:t xml:space="preserve">The exchange rate pass-through issue in Vietnam has received much research interest from academia in recent </w:t>
      </w:r>
      <w:r w:rsidR="00AE6BDB" w:rsidRPr="000B3A8F">
        <w:rPr>
          <w:rFonts w:ascii="Times New Roman" w:hAnsi="Times New Roman"/>
          <w:szCs w:val="22"/>
        </w:rPr>
        <w:t>years. T</w:t>
      </w:r>
      <w:r w:rsidRPr="000B3A8F">
        <w:rPr>
          <w:rFonts w:ascii="Times New Roman" w:hAnsi="Times New Roman"/>
          <w:szCs w:val="22"/>
        </w:rPr>
        <w:t>here are some studies such as Nguyen Thi Ngoc Trang and Luc Van Cuong (2012), Tran Van Hung (2015), Tran Ngoc Tho, and Nguyen Thi Ngoc Trang (2015), and Pham Thi Thanh Xuan et al</w:t>
      </w:r>
      <w:r w:rsidR="00AE6BDB" w:rsidRPr="000B3A8F">
        <w:rPr>
          <w:rFonts w:ascii="Times New Roman" w:hAnsi="Times New Roman"/>
          <w:szCs w:val="22"/>
        </w:rPr>
        <w:t>.</w:t>
      </w:r>
      <w:r w:rsidRPr="000B3A8F">
        <w:rPr>
          <w:rFonts w:ascii="Times New Roman" w:hAnsi="Times New Roman"/>
          <w:szCs w:val="22"/>
        </w:rPr>
        <w:t xml:space="preserve"> (2017). They have considered the nonlinear relationship of exchange rate pass-through, for example, the exchange of exchange rate into inflation will be different depending on the level of inflation and the economic cycle.</w:t>
      </w:r>
    </w:p>
    <w:bookmarkEnd w:id="12"/>
    <w:bookmarkEnd w:id="13"/>
    <w:p w:rsidR="00E700A4" w:rsidRPr="000B3A8F" w:rsidRDefault="00E700A4" w:rsidP="000B3A8F">
      <w:pPr>
        <w:pStyle w:val="text"/>
        <w:tabs>
          <w:tab w:val="right" w:leader="dot" w:pos="5670"/>
        </w:tabs>
        <w:spacing w:line="340" w:lineRule="exact"/>
        <w:ind w:firstLine="0"/>
        <w:rPr>
          <w:rFonts w:ascii="Times New Roman" w:hAnsi="Times New Roman"/>
          <w:szCs w:val="22"/>
        </w:rPr>
      </w:pPr>
      <w:r w:rsidRPr="000B3A8F">
        <w:rPr>
          <w:rFonts w:ascii="Times New Roman" w:hAnsi="Times New Roman"/>
          <w:szCs w:val="22"/>
        </w:rPr>
        <w:t>However, the literature on exchange rate pass-through shows that the level of exchange rate transfers is also influenced by a number of other factors in the macro-environment such as fluctuations and volatility in exchange rates, and the trade openness</w:t>
      </w:r>
    </w:p>
    <w:p w:rsidR="00E700A4" w:rsidRPr="000B3A8F" w:rsidRDefault="00E700A4" w:rsidP="000B3A8F">
      <w:pPr>
        <w:pStyle w:val="text"/>
        <w:tabs>
          <w:tab w:val="right" w:leader="dot" w:pos="5670"/>
        </w:tabs>
        <w:spacing w:line="340" w:lineRule="exact"/>
        <w:ind w:firstLine="0"/>
        <w:rPr>
          <w:rFonts w:ascii="Times New Roman" w:hAnsi="Times New Roman"/>
          <w:szCs w:val="22"/>
        </w:rPr>
      </w:pPr>
      <w:r w:rsidRPr="000B3A8F">
        <w:rPr>
          <w:rFonts w:ascii="Times New Roman" w:hAnsi="Times New Roman"/>
          <w:szCs w:val="22"/>
        </w:rPr>
        <w:t xml:space="preserve">Among the studies on the nonlinear relationship of exchange rates pass-through in Vietnam, only the environment of inflation and the economic cycle </w:t>
      </w:r>
      <w:proofErr w:type="gramStart"/>
      <w:r w:rsidRPr="000B3A8F">
        <w:rPr>
          <w:rFonts w:ascii="Times New Roman" w:hAnsi="Times New Roman"/>
          <w:szCs w:val="22"/>
        </w:rPr>
        <w:t>was mentioned</w:t>
      </w:r>
      <w:proofErr w:type="gramEnd"/>
      <w:r w:rsidRPr="000B3A8F">
        <w:rPr>
          <w:rFonts w:ascii="Times New Roman" w:hAnsi="Times New Roman"/>
          <w:szCs w:val="22"/>
        </w:rPr>
        <w:t xml:space="preserve">. However, there are still some non-linear aspects of the exchange rate that </w:t>
      </w:r>
      <w:proofErr w:type="gramStart"/>
      <w:r w:rsidRPr="000B3A8F">
        <w:rPr>
          <w:rFonts w:ascii="Times New Roman" w:hAnsi="Times New Roman"/>
          <w:szCs w:val="22"/>
        </w:rPr>
        <w:t>have not yet been implemented</w:t>
      </w:r>
      <w:proofErr w:type="gramEnd"/>
      <w:r w:rsidRPr="000B3A8F">
        <w:rPr>
          <w:rFonts w:ascii="Times New Roman" w:hAnsi="Times New Roman"/>
          <w:szCs w:val="22"/>
        </w:rPr>
        <w:t xml:space="preserve"> in the Vietnamese economy such as the impact of exchange rate instability, and trade openness. </w:t>
      </w:r>
      <w:proofErr w:type="gramStart"/>
      <w:r w:rsidRPr="000B3A8F">
        <w:rPr>
          <w:rFonts w:ascii="Times New Roman" w:hAnsi="Times New Roman"/>
          <w:szCs w:val="22"/>
        </w:rPr>
        <w:t>This is the gap that this thesis wants to fill.</w:t>
      </w:r>
      <w:proofErr w:type="gramEnd"/>
    </w:p>
    <w:p w:rsidR="00E700A4" w:rsidRPr="000B3A8F" w:rsidRDefault="00E700A4" w:rsidP="000B3A8F">
      <w:pPr>
        <w:pStyle w:val="text"/>
        <w:tabs>
          <w:tab w:val="right" w:leader="dot" w:pos="5670"/>
        </w:tabs>
        <w:spacing w:line="340" w:lineRule="exact"/>
        <w:ind w:firstLine="0"/>
        <w:rPr>
          <w:rFonts w:ascii="Times New Roman" w:hAnsi="Times New Roman"/>
          <w:szCs w:val="22"/>
        </w:rPr>
      </w:pPr>
      <w:r w:rsidRPr="000B3A8F">
        <w:rPr>
          <w:rFonts w:ascii="Times New Roman" w:hAnsi="Times New Roman"/>
          <w:szCs w:val="22"/>
        </w:rPr>
        <w:t xml:space="preserve">The thesis uses a smooth transition regression model to describe the process of changing the level of gradual transmission of the economy when macro factors pass a certain threshold level because of the reaction of the heterogeneity of enterprises. Because the economy has a certain delay, the transmission process cannot move as abruptly as </w:t>
      </w:r>
      <w:r w:rsidRPr="000B3A8F">
        <w:rPr>
          <w:rFonts w:ascii="Times New Roman" w:hAnsi="Times New Roman"/>
          <w:szCs w:val="22"/>
        </w:rPr>
        <w:lastRenderedPageBreak/>
        <w:t>the regression models. This model is also different from published works in search of evidence on nonlinear transmission of exchange rates in Vietnam.</w:t>
      </w:r>
    </w:p>
    <w:p w:rsidR="00AA4693" w:rsidRPr="000B3A8F" w:rsidRDefault="00921E65" w:rsidP="000B3A8F">
      <w:pPr>
        <w:pStyle w:val="Heading2"/>
        <w:spacing w:line="340" w:lineRule="exact"/>
        <w:rPr>
          <w:rFonts w:ascii="Times New Roman" w:hAnsi="Times New Roman" w:cs="Times New Roman"/>
          <w:b/>
          <w:color w:val="auto"/>
          <w:sz w:val="22"/>
          <w:szCs w:val="22"/>
        </w:rPr>
      </w:pPr>
      <w:r w:rsidRPr="000B3A8F">
        <w:rPr>
          <w:rFonts w:ascii="Times New Roman" w:hAnsi="Times New Roman" w:cs="Times New Roman"/>
          <w:b/>
          <w:color w:val="auto"/>
          <w:sz w:val="22"/>
          <w:szCs w:val="22"/>
        </w:rPr>
        <w:t xml:space="preserve">1.3 </w:t>
      </w:r>
      <w:r w:rsidR="00987830" w:rsidRPr="000B3A8F">
        <w:rPr>
          <w:rFonts w:ascii="Times New Roman" w:hAnsi="Times New Roman" w:cs="Times New Roman"/>
          <w:b/>
          <w:color w:val="auto"/>
          <w:sz w:val="22"/>
          <w:szCs w:val="22"/>
        </w:rPr>
        <w:t>Research objects</w:t>
      </w:r>
    </w:p>
    <w:p w:rsidR="00921E65" w:rsidRPr="000B3A8F" w:rsidRDefault="00921E65" w:rsidP="000B3A8F">
      <w:pPr>
        <w:pStyle w:val="text"/>
        <w:keepNext/>
        <w:keepLines/>
        <w:tabs>
          <w:tab w:val="left" w:pos="360"/>
          <w:tab w:val="right" w:leader="dot" w:pos="5670"/>
        </w:tabs>
        <w:spacing w:line="340" w:lineRule="exact"/>
        <w:ind w:firstLine="0"/>
        <w:rPr>
          <w:rFonts w:ascii="Times New Roman" w:hAnsi="Times New Roman"/>
          <w:szCs w:val="22"/>
        </w:rPr>
      </w:pPr>
      <w:r w:rsidRPr="000B3A8F">
        <w:rPr>
          <w:rFonts w:ascii="Times New Roman" w:hAnsi="Times New Roman"/>
          <w:szCs w:val="22"/>
        </w:rPr>
        <w:t xml:space="preserve">This thesis </w:t>
      </w:r>
      <w:proofErr w:type="gramStart"/>
      <w:r w:rsidRPr="000B3A8F">
        <w:rPr>
          <w:rFonts w:ascii="Times New Roman" w:hAnsi="Times New Roman"/>
          <w:szCs w:val="22"/>
        </w:rPr>
        <w:t>is conducted</w:t>
      </w:r>
      <w:proofErr w:type="gramEnd"/>
      <w:r w:rsidRPr="000B3A8F">
        <w:rPr>
          <w:rFonts w:ascii="Times New Roman" w:hAnsi="Times New Roman"/>
          <w:szCs w:val="22"/>
        </w:rPr>
        <w:t xml:space="preserve"> towards the following objectives:</w:t>
      </w:r>
    </w:p>
    <w:p w:rsidR="00921E65" w:rsidRPr="000B3A8F" w:rsidRDefault="00921E65" w:rsidP="000B3A8F">
      <w:pPr>
        <w:pStyle w:val="text"/>
        <w:keepNext/>
        <w:keepLines/>
        <w:tabs>
          <w:tab w:val="left" w:pos="360"/>
          <w:tab w:val="right" w:leader="dot" w:pos="5670"/>
        </w:tabs>
        <w:spacing w:line="340" w:lineRule="exact"/>
        <w:ind w:firstLine="0"/>
        <w:rPr>
          <w:rFonts w:ascii="Times New Roman" w:hAnsi="Times New Roman"/>
          <w:szCs w:val="22"/>
        </w:rPr>
      </w:pPr>
      <w:r w:rsidRPr="000B3A8F">
        <w:rPr>
          <w:rFonts w:ascii="Times New Roman" w:hAnsi="Times New Roman"/>
          <w:szCs w:val="22"/>
        </w:rPr>
        <w:t>Firstly, to investigate the effect of factors of macro-environmental factors on the process of transferring the exchange rate into inflation in Vietnam. The author will estimate the difference in the shifts of exchange rate into inflation in relation to different macrostates of Vietnam economy such as high and low inflation environment, high and low fluctuation or volatility of exchange rate, expand and slowdown economy and high and low trade openness</w:t>
      </w:r>
      <w:r w:rsidR="0096243E" w:rsidRPr="000B3A8F">
        <w:rPr>
          <w:rFonts w:ascii="Times New Roman" w:hAnsi="Times New Roman"/>
          <w:szCs w:val="22"/>
        </w:rPr>
        <w:t>.</w:t>
      </w:r>
      <w:r w:rsidRPr="000B3A8F">
        <w:rPr>
          <w:rFonts w:ascii="Times New Roman" w:hAnsi="Times New Roman"/>
          <w:szCs w:val="22"/>
        </w:rPr>
        <w:t xml:space="preserve"> </w:t>
      </w:r>
    </w:p>
    <w:p w:rsidR="00921E65" w:rsidRPr="000B3A8F" w:rsidRDefault="00921E65" w:rsidP="000B3A8F">
      <w:pPr>
        <w:pStyle w:val="text"/>
        <w:keepNext/>
        <w:keepLines/>
        <w:tabs>
          <w:tab w:val="left" w:pos="360"/>
          <w:tab w:val="right" w:leader="dot" w:pos="5670"/>
        </w:tabs>
        <w:spacing w:line="340" w:lineRule="exact"/>
        <w:ind w:firstLine="0"/>
        <w:rPr>
          <w:rFonts w:ascii="Times New Roman" w:hAnsi="Times New Roman"/>
          <w:szCs w:val="22"/>
        </w:rPr>
      </w:pPr>
      <w:r w:rsidRPr="000B3A8F">
        <w:rPr>
          <w:rFonts w:ascii="Times New Roman" w:hAnsi="Times New Roman"/>
          <w:szCs w:val="22"/>
        </w:rPr>
        <w:t>Secondly, to find the empirical evidence on the nonlinear relationship of exchange rate pass-through into inflation under various macro conditions by applying the smooth transition regression model.</w:t>
      </w:r>
    </w:p>
    <w:p w:rsidR="00681B47" w:rsidRPr="000B3A8F" w:rsidRDefault="00510A42" w:rsidP="000B3A8F">
      <w:pPr>
        <w:pStyle w:val="text"/>
        <w:keepNext/>
        <w:keepLines/>
        <w:tabs>
          <w:tab w:val="left" w:pos="360"/>
          <w:tab w:val="right" w:leader="dot" w:pos="5670"/>
        </w:tabs>
        <w:spacing w:line="340" w:lineRule="exact"/>
        <w:ind w:firstLine="0"/>
        <w:rPr>
          <w:rFonts w:ascii="Times New Roman" w:hAnsi="Times New Roman"/>
          <w:szCs w:val="22"/>
        </w:rPr>
      </w:pPr>
      <w:r w:rsidRPr="000B3A8F">
        <w:rPr>
          <w:rFonts w:ascii="Times New Roman" w:hAnsi="Times New Roman"/>
          <w:szCs w:val="22"/>
        </w:rPr>
        <w:t>Thirdly</w:t>
      </w:r>
      <w:r w:rsidR="00681B47" w:rsidRPr="000B3A8F">
        <w:rPr>
          <w:rFonts w:ascii="Times New Roman" w:hAnsi="Times New Roman"/>
          <w:szCs w:val="22"/>
        </w:rPr>
        <w:t xml:space="preserve">, </w:t>
      </w:r>
      <w:r w:rsidRPr="000B3A8F">
        <w:rPr>
          <w:rFonts w:ascii="Times New Roman" w:hAnsi="Times New Roman"/>
          <w:szCs w:val="22"/>
        </w:rPr>
        <w:t>to</w:t>
      </w:r>
      <w:r w:rsidR="00681B47" w:rsidRPr="000B3A8F">
        <w:rPr>
          <w:rFonts w:ascii="Times New Roman" w:hAnsi="Times New Roman"/>
          <w:szCs w:val="22"/>
        </w:rPr>
        <w:t xml:space="preserve"> make recommendations to help policy-making agencies have </w:t>
      </w:r>
      <w:r w:rsidR="00E518AA" w:rsidRPr="000B3A8F">
        <w:rPr>
          <w:rFonts w:ascii="Times New Roman" w:hAnsi="Times New Roman"/>
          <w:szCs w:val="22"/>
        </w:rPr>
        <w:t>information</w:t>
      </w:r>
      <w:r w:rsidR="00681B47" w:rsidRPr="000B3A8F">
        <w:rPr>
          <w:rFonts w:ascii="Times New Roman" w:hAnsi="Times New Roman"/>
          <w:szCs w:val="22"/>
        </w:rPr>
        <w:t xml:space="preserve"> to formulate policies to regulate exchange rates and stabilize prices in line with each specific economic co</w:t>
      </w:r>
      <w:r w:rsidRPr="000B3A8F">
        <w:rPr>
          <w:rFonts w:ascii="Times New Roman" w:hAnsi="Times New Roman"/>
          <w:szCs w:val="22"/>
        </w:rPr>
        <w:t xml:space="preserve">ntext in the Vietnamese economy. </w:t>
      </w:r>
    </w:p>
    <w:p w:rsidR="00E518AA" w:rsidRPr="000B3A8F" w:rsidRDefault="00E518AA" w:rsidP="000B3A8F">
      <w:pPr>
        <w:pStyle w:val="Heading2"/>
        <w:spacing w:line="340" w:lineRule="exact"/>
        <w:rPr>
          <w:rFonts w:ascii="Times New Roman" w:hAnsi="Times New Roman" w:cs="Times New Roman"/>
          <w:b/>
          <w:color w:val="auto"/>
          <w:sz w:val="22"/>
          <w:szCs w:val="22"/>
        </w:rPr>
      </w:pPr>
      <w:r w:rsidRPr="000B3A8F">
        <w:rPr>
          <w:rFonts w:ascii="Times New Roman" w:hAnsi="Times New Roman" w:cs="Times New Roman"/>
          <w:b/>
          <w:color w:val="auto"/>
          <w:sz w:val="22"/>
          <w:szCs w:val="22"/>
        </w:rPr>
        <w:t>1.4 Contribution of the thesis</w:t>
      </w:r>
    </w:p>
    <w:p w:rsidR="007634BB" w:rsidRPr="000B3A8F" w:rsidRDefault="0096243E" w:rsidP="000B3A8F">
      <w:pPr>
        <w:spacing w:line="340" w:lineRule="exact"/>
        <w:jc w:val="both"/>
        <w:rPr>
          <w:sz w:val="22"/>
          <w:szCs w:val="22"/>
        </w:rPr>
      </w:pPr>
      <w:proofErr w:type="gramStart"/>
      <w:r w:rsidRPr="000B3A8F">
        <w:rPr>
          <w:sz w:val="22"/>
          <w:szCs w:val="22"/>
        </w:rPr>
        <w:t>First of all</w:t>
      </w:r>
      <w:proofErr w:type="gramEnd"/>
      <w:r w:rsidRPr="000B3A8F">
        <w:rPr>
          <w:sz w:val="22"/>
          <w:szCs w:val="22"/>
        </w:rPr>
        <w:t>, the smooth transition r</w:t>
      </w:r>
      <w:r w:rsidR="007634BB" w:rsidRPr="000B3A8F">
        <w:rPr>
          <w:sz w:val="22"/>
          <w:szCs w:val="22"/>
        </w:rPr>
        <w:t>egressive (STR) model is applied in this thesis allows smooth transitions between regimes or states of the economy. This model is suitable to describe the heterogeneous response of firms in the economy makes the exchange rate pass-through on the price level more slowly. This is a crucial methodological difference from the published paper of other authors in this field in Vietnam.</w:t>
      </w:r>
    </w:p>
    <w:p w:rsidR="00BC1270" w:rsidRPr="000B3A8F" w:rsidRDefault="00BC1270" w:rsidP="000B3A8F">
      <w:pPr>
        <w:spacing w:line="340" w:lineRule="exact"/>
        <w:jc w:val="both"/>
        <w:rPr>
          <w:sz w:val="22"/>
          <w:szCs w:val="22"/>
        </w:rPr>
      </w:pPr>
      <w:bookmarkStart w:id="14" w:name="OLE_LINK42"/>
      <w:bookmarkStart w:id="15" w:name="OLE_LINK43"/>
      <w:r w:rsidRPr="000B3A8F">
        <w:rPr>
          <w:sz w:val="22"/>
          <w:szCs w:val="22"/>
        </w:rPr>
        <w:lastRenderedPageBreak/>
        <w:t>Second</w:t>
      </w:r>
      <w:r w:rsidR="007901BD" w:rsidRPr="000B3A8F">
        <w:rPr>
          <w:sz w:val="22"/>
          <w:szCs w:val="22"/>
        </w:rPr>
        <w:t>ly</w:t>
      </w:r>
      <w:r w:rsidRPr="000B3A8F">
        <w:rPr>
          <w:sz w:val="22"/>
          <w:szCs w:val="22"/>
        </w:rPr>
        <w:t xml:space="preserve">, the study uses </w:t>
      </w:r>
      <w:r w:rsidR="000A5A44" w:rsidRPr="000B3A8F">
        <w:rPr>
          <w:sz w:val="22"/>
          <w:szCs w:val="22"/>
        </w:rPr>
        <w:t xml:space="preserve">some </w:t>
      </w:r>
      <w:r w:rsidRPr="000B3A8F">
        <w:rPr>
          <w:sz w:val="22"/>
          <w:szCs w:val="22"/>
        </w:rPr>
        <w:t xml:space="preserve">potential transitions to </w:t>
      </w:r>
      <w:r w:rsidR="000A5A44" w:rsidRPr="000B3A8F">
        <w:rPr>
          <w:sz w:val="22"/>
          <w:szCs w:val="22"/>
        </w:rPr>
        <w:t>proxy</w:t>
      </w:r>
      <w:r w:rsidRPr="000B3A8F">
        <w:rPr>
          <w:sz w:val="22"/>
          <w:szCs w:val="22"/>
        </w:rPr>
        <w:t xml:space="preserve"> different </w:t>
      </w:r>
      <w:r w:rsidR="001F1B0D" w:rsidRPr="000B3A8F">
        <w:rPr>
          <w:sz w:val="22"/>
          <w:szCs w:val="22"/>
        </w:rPr>
        <w:t>states of the economy, such as</w:t>
      </w:r>
      <w:r w:rsidR="000A5A44" w:rsidRPr="000B3A8F">
        <w:rPr>
          <w:sz w:val="22"/>
          <w:szCs w:val="22"/>
        </w:rPr>
        <w:t xml:space="preserve"> high or </w:t>
      </w:r>
      <w:r w:rsidRPr="000B3A8F">
        <w:rPr>
          <w:sz w:val="22"/>
          <w:szCs w:val="22"/>
        </w:rPr>
        <w:t>low inflation</w:t>
      </w:r>
      <w:r w:rsidR="000A5A44" w:rsidRPr="000B3A8F">
        <w:rPr>
          <w:sz w:val="22"/>
          <w:szCs w:val="22"/>
        </w:rPr>
        <w:t>,</w:t>
      </w:r>
      <w:r w:rsidRPr="000B3A8F">
        <w:rPr>
          <w:sz w:val="22"/>
          <w:szCs w:val="22"/>
        </w:rPr>
        <w:t xml:space="preserve"> </w:t>
      </w:r>
      <w:r w:rsidR="000A5A44" w:rsidRPr="000B3A8F">
        <w:rPr>
          <w:sz w:val="22"/>
          <w:szCs w:val="22"/>
        </w:rPr>
        <w:t>level</w:t>
      </w:r>
      <w:r w:rsidRPr="000B3A8F">
        <w:rPr>
          <w:sz w:val="22"/>
          <w:szCs w:val="22"/>
        </w:rPr>
        <w:t xml:space="preserve"> </w:t>
      </w:r>
      <w:r w:rsidR="000A5A44" w:rsidRPr="000B3A8F">
        <w:rPr>
          <w:sz w:val="22"/>
          <w:szCs w:val="22"/>
        </w:rPr>
        <w:t xml:space="preserve">of exchange rate </w:t>
      </w:r>
      <w:r w:rsidRPr="000B3A8F">
        <w:rPr>
          <w:sz w:val="22"/>
          <w:szCs w:val="22"/>
        </w:rPr>
        <w:t xml:space="preserve">rates, exchange rate volatility, </w:t>
      </w:r>
      <w:r w:rsidR="001F1B0D" w:rsidRPr="000B3A8F">
        <w:rPr>
          <w:sz w:val="22"/>
          <w:szCs w:val="22"/>
        </w:rPr>
        <w:t xml:space="preserve">trade openness, </w:t>
      </w:r>
      <w:r w:rsidR="000A5A44" w:rsidRPr="000B3A8F">
        <w:rPr>
          <w:sz w:val="22"/>
          <w:szCs w:val="22"/>
        </w:rPr>
        <w:t xml:space="preserve">and </w:t>
      </w:r>
      <w:r w:rsidRPr="000B3A8F">
        <w:rPr>
          <w:sz w:val="22"/>
          <w:szCs w:val="22"/>
        </w:rPr>
        <w:t xml:space="preserve">economic expansion or contraction to study the response of inflation to exchange rate shocks in each of these contexts. Results from the study </w:t>
      </w:r>
      <w:r w:rsidR="001F1B0D" w:rsidRPr="000B3A8F">
        <w:rPr>
          <w:sz w:val="22"/>
          <w:szCs w:val="22"/>
        </w:rPr>
        <w:t>show the influence of the macro-</w:t>
      </w:r>
      <w:r w:rsidRPr="000B3A8F">
        <w:rPr>
          <w:sz w:val="22"/>
          <w:szCs w:val="22"/>
        </w:rPr>
        <w:t xml:space="preserve">environment on the level of exchange rate pass-through on inflation in Vietnam. </w:t>
      </w:r>
      <w:bookmarkStart w:id="16" w:name="OLE_LINK1136"/>
      <w:bookmarkStart w:id="17" w:name="OLE_LINK1137"/>
      <w:r w:rsidRPr="000B3A8F">
        <w:rPr>
          <w:sz w:val="22"/>
          <w:szCs w:val="22"/>
        </w:rPr>
        <w:t xml:space="preserve">The study </w:t>
      </w:r>
      <w:r w:rsidR="001F1B0D" w:rsidRPr="000B3A8F">
        <w:rPr>
          <w:sz w:val="22"/>
          <w:szCs w:val="22"/>
        </w:rPr>
        <w:t>also confirms the existence of the</w:t>
      </w:r>
      <w:r w:rsidRPr="000B3A8F">
        <w:rPr>
          <w:sz w:val="22"/>
          <w:szCs w:val="22"/>
        </w:rPr>
        <w:t xml:space="preserve"> nonlinear relationship </w:t>
      </w:r>
      <w:proofErr w:type="gramStart"/>
      <w:r w:rsidRPr="000B3A8F">
        <w:rPr>
          <w:sz w:val="22"/>
          <w:szCs w:val="22"/>
        </w:rPr>
        <w:t xml:space="preserve">between </w:t>
      </w:r>
      <w:r w:rsidR="003A4BB3" w:rsidRPr="000B3A8F">
        <w:rPr>
          <w:sz w:val="22"/>
          <w:szCs w:val="22"/>
        </w:rPr>
        <w:t xml:space="preserve">the </w:t>
      </w:r>
      <w:r w:rsidRPr="000B3A8F">
        <w:rPr>
          <w:sz w:val="22"/>
          <w:szCs w:val="22"/>
        </w:rPr>
        <w:t xml:space="preserve">exchange rate pass-through to inflation in Vietnam </w:t>
      </w:r>
      <w:r w:rsidR="003A4BB3" w:rsidRPr="000B3A8F">
        <w:rPr>
          <w:sz w:val="22"/>
          <w:szCs w:val="22"/>
        </w:rPr>
        <w:t>under</w:t>
      </w:r>
      <w:r w:rsidRPr="000B3A8F">
        <w:rPr>
          <w:sz w:val="22"/>
          <w:szCs w:val="22"/>
        </w:rPr>
        <w:t xml:space="preserve"> different macroeconomic states of the economy</w:t>
      </w:r>
      <w:proofErr w:type="gramEnd"/>
      <w:r w:rsidRPr="000B3A8F">
        <w:rPr>
          <w:sz w:val="22"/>
          <w:szCs w:val="22"/>
        </w:rPr>
        <w:t>.</w:t>
      </w:r>
      <w:bookmarkEnd w:id="16"/>
      <w:bookmarkEnd w:id="17"/>
      <w:r w:rsidRPr="000B3A8F">
        <w:rPr>
          <w:sz w:val="22"/>
          <w:szCs w:val="22"/>
        </w:rPr>
        <w:t xml:space="preserve"> Accordingly, the level of pass-through will change as the economy moves from one state to another.</w:t>
      </w:r>
    </w:p>
    <w:p w:rsidR="007901BD" w:rsidRPr="000B3A8F" w:rsidRDefault="007901BD" w:rsidP="000B3A8F">
      <w:pPr>
        <w:spacing w:line="340" w:lineRule="exact"/>
        <w:jc w:val="both"/>
        <w:rPr>
          <w:sz w:val="22"/>
          <w:szCs w:val="22"/>
        </w:rPr>
      </w:pPr>
      <w:bookmarkStart w:id="18" w:name="OLE_LINK30"/>
      <w:r w:rsidRPr="000B3A8F">
        <w:rPr>
          <w:sz w:val="22"/>
          <w:szCs w:val="22"/>
        </w:rPr>
        <w:t>Thirdly, the empirical results from the thesis show that exchange rate pass-through is positive for the inflation level of the Vietnamese economy in the short and long term. Specifically, when the inflation rate is greater than the threshold of 1,195% / month, the transmission rate will increase significantly.</w:t>
      </w:r>
      <w:bookmarkEnd w:id="18"/>
    </w:p>
    <w:p w:rsidR="007901BD" w:rsidRPr="000B3A8F" w:rsidRDefault="007901BD" w:rsidP="000B3A8F">
      <w:pPr>
        <w:spacing w:line="340" w:lineRule="exact"/>
        <w:jc w:val="both"/>
        <w:rPr>
          <w:sz w:val="22"/>
          <w:szCs w:val="22"/>
        </w:rPr>
      </w:pPr>
      <w:bookmarkStart w:id="19" w:name="OLE_LINK31"/>
      <w:bookmarkStart w:id="20" w:name="OLE_LINK32"/>
      <w:r w:rsidRPr="000B3A8F">
        <w:rPr>
          <w:sz w:val="22"/>
          <w:szCs w:val="22"/>
        </w:rPr>
        <w:t>Fourthly, the results from the study show an inverse relationship in the short and long run between the changes in the exchange rate and the exchange rate pass-through. When the exchange rate surpassed the threshold of 0.094% / month, the pass-through decreased again. This suggests that there is no evidence of the 'menu cost' issue but that there is evidence of the 'market share problem' during the research period in Vietnam. Results from the study show that firms will adjust prices in response to sub-threshold changes in exchange rates ignoring the issue of menu costs. However, the pressure of holding market share will cause businesses to limit price adjustments when the exchange rate fluctuates beyond the threshold.</w:t>
      </w:r>
    </w:p>
    <w:p w:rsidR="006E47D9" w:rsidRPr="000B3A8F" w:rsidRDefault="007901BD" w:rsidP="000B3A8F">
      <w:pPr>
        <w:spacing w:line="340" w:lineRule="exact"/>
        <w:jc w:val="both"/>
        <w:rPr>
          <w:sz w:val="22"/>
          <w:szCs w:val="22"/>
        </w:rPr>
      </w:pPr>
      <w:bookmarkStart w:id="21" w:name="OLE_LINK33"/>
      <w:bookmarkStart w:id="22" w:name="OLE_LINK34"/>
      <w:bookmarkEnd w:id="19"/>
      <w:bookmarkEnd w:id="20"/>
      <w:r w:rsidRPr="000B3A8F">
        <w:rPr>
          <w:sz w:val="22"/>
          <w:szCs w:val="22"/>
        </w:rPr>
        <w:lastRenderedPageBreak/>
        <w:t>Fifth</w:t>
      </w:r>
      <w:r w:rsidR="006E47D9" w:rsidRPr="000B3A8F">
        <w:rPr>
          <w:sz w:val="22"/>
          <w:szCs w:val="22"/>
        </w:rPr>
        <w:t>ly</w:t>
      </w:r>
      <w:r w:rsidRPr="000B3A8F">
        <w:rPr>
          <w:sz w:val="22"/>
          <w:szCs w:val="22"/>
        </w:rPr>
        <w:t xml:space="preserve">, the results show that firms will transmit more exchange rate changes to prices when they perceive that exchange rate risk (measured by the daily exchange rate standard deviation) in the market increases. When the exchange rate risk is low, businesses will suffer to maintain market share, but when the </w:t>
      </w:r>
      <w:r w:rsidR="001F537E" w:rsidRPr="000B3A8F">
        <w:rPr>
          <w:sz w:val="22"/>
          <w:szCs w:val="22"/>
        </w:rPr>
        <w:t xml:space="preserve">exchange rate volatility </w:t>
      </w:r>
      <w:r w:rsidRPr="000B3A8F">
        <w:rPr>
          <w:sz w:val="22"/>
          <w:szCs w:val="22"/>
        </w:rPr>
        <w:t>increases, the enterprise will act to reflect these fluctuations in the price, mak</w:t>
      </w:r>
      <w:r w:rsidR="00D315A6" w:rsidRPr="000B3A8F">
        <w:rPr>
          <w:sz w:val="22"/>
          <w:szCs w:val="22"/>
        </w:rPr>
        <w:t>ing the pass-through</w:t>
      </w:r>
      <w:r w:rsidR="006E47D9" w:rsidRPr="000B3A8F">
        <w:rPr>
          <w:sz w:val="22"/>
          <w:szCs w:val="22"/>
        </w:rPr>
        <w:t xml:space="preserve"> increase.</w:t>
      </w:r>
    </w:p>
    <w:bookmarkEnd w:id="21"/>
    <w:bookmarkEnd w:id="22"/>
    <w:p w:rsidR="007901BD" w:rsidRPr="000B3A8F" w:rsidRDefault="007901BD" w:rsidP="000B3A8F">
      <w:pPr>
        <w:spacing w:line="340" w:lineRule="exact"/>
        <w:jc w:val="both"/>
        <w:rPr>
          <w:sz w:val="22"/>
          <w:szCs w:val="22"/>
        </w:rPr>
      </w:pPr>
      <w:r w:rsidRPr="000B3A8F">
        <w:rPr>
          <w:sz w:val="22"/>
          <w:szCs w:val="22"/>
        </w:rPr>
        <w:t>Sixth</w:t>
      </w:r>
      <w:r w:rsidR="006E47D9" w:rsidRPr="000B3A8F">
        <w:rPr>
          <w:sz w:val="22"/>
          <w:szCs w:val="22"/>
        </w:rPr>
        <w:t>ly</w:t>
      </w:r>
      <w:r w:rsidRPr="000B3A8F">
        <w:rPr>
          <w:sz w:val="22"/>
          <w:szCs w:val="22"/>
        </w:rPr>
        <w:t xml:space="preserve">, the results show that the level of pass-through is </w:t>
      </w:r>
      <w:r w:rsidR="001F537E" w:rsidRPr="000B3A8F">
        <w:rPr>
          <w:sz w:val="22"/>
          <w:szCs w:val="22"/>
        </w:rPr>
        <w:t>negative</w:t>
      </w:r>
      <w:r w:rsidRPr="000B3A8F">
        <w:rPr>
          <w:sz w:val="22"/>
          <w:szCs w:val="22"/>
        </w:rPr>
        <w:t xml:space="preserve"> with the short-te</w:t>
      </w:r>
      <w:r w:rsidR="001F537E" w:rsidRPr="000B3A8F">
        <w:rPr>
          <w:sz w:val="22"/>
          <w:szCs w:val="22"/>
        </w:rPr>
        <w:t>rm economic cycle but positive</w:t>
      </w:r>
      <w:r w:rsidRPr="000B3A8F">
        <w:rPr>
          <w:sz w:val="22"/>
          <w:szCs w:val="22"/>
        </w:rPr>
        <w:t xml:space="preserve"> with the long-te</w:t>
      </w:r>
      <w:r w:rsidR="006E47D9" w:rsidRPr="000B3A8F">
        <w:rPr>
          <w:sz w:val="22"/>
          <w:szCs w:val="22"/>
        </w:rPr>
        <w:t>rm economic cycle. In the short-</w:t>
      </w:r>
      <w:r w:rsidRPr="000B3A8F">
        <w:rPr>
          <w:sz w:val="22"/>
          <w:szCs w:val="22"/>
        </w:rPr>
        <w:t>term, when the economy booms, it will reduce the tra</w:t>
      </w:r>
      <w:r w:rsidR="0017327C" w:rsidRPr="000B3A8F">
        <w:rPr>
          <w:sz w:val="22"/>
          <w:szCs w:val="22"/>
        </w:rPr>
        <w:t>nsmission rate, but in the long-</w:t>
      </w:r>
      <w:r w:rsidR="0017090D" w:rsidRPr="000B3A8F">
        <w:rPr>
          <w:sz w:val="22"/>
          <w:szCs w:val="22"/>
        </w:rPr>
        <w:t>term</w:t>
      </w:r>
      <w:r w:rsidRPr="000B3A8F">
        <w:rPr>
          <w:sz w:val="22"/>
          <w:szCs w:val="22"/>
        </w:rPr>
        <w:t xml:space="preserve"> when the economy is </w:t>
      </w:r>
      <w:r w:rsidR="00630BB5" w:rsidRPr="000B3A8F">
        <w:rPr>
          <w:sz w:val="22"/>
          <w:szCs w:val="22"/>
        </w:rPr>
        <w:t>expansion</w:t>
      </w:r>
      <w:r w:rsidRPr="000B3A8F">
        <w:rPr>
          <w:sz w:val="22"/>
          <w:szCs w:val="22"/>
        </w:rPr>
        <w:t xml:space="preserve">, the transmission rate will increase, so the government should </w:t>
      </w:r>
      <w:proofErr w:type="gramStart"/>
      <w:r w:rsidRPr="000B3A8F">
        <w:rPr>
          <w:sz w:val="22"/>
          <w:szCs w:val="22"/>
        </w:rPr>
        <w:t>take this into account</w:t>
      </w:r>
      <w:proofErr w:type="gramEnd"/>
      <w:r w:rsidRPr="000B3A8F">
        <w:rPr>
          <w:sz w:val="22"/>
          <w:szCs w:val="22"/>
        </w:rPr>
        <w:t xml:space="preserve"> in the process of operating the economy.</w:t>
      </w:r>
    </w:p>
    <w:p w:rsidR="007634BB" w:rsidRPr="000B3A8F" w:rsidRDefault="007634BB" w:rsidP="000B3A8F">
      <w:pPr>
        <w:spacing w:line="340" w:lineRule="exact"/>
        <w:jc w:val="both"/>
        <w:rPr>
          <w:sz w:val="22"/>
          <w:szCs w:val="22"/>
        </w:rPr>
      </w:pPr>
      <w:proofErr w:type="gramStart"/>
      <w:r w:rsidRPr="000B3A8F">
        <w:rPr>
          <w:sz w:val="22"/>
          <w:szCs w:val="22"/>
        </w:rPr>
        <w:t>Last but not least</w:t>
      </w:r>
      <w:proofErr w:type="gramEnd"/>
      <w:r w:rsidRPr="000B3A8F">
        <w:rPr>
          <w:sz w:val="22"/>
          <w:szCs w:val="22"/>
        </w:rPr>
        <w:t xml:space="preserve">, </w:t>
      </w:r>
      <w:r w:rsidR="007901BD" w:rsidRPr="000B3A8F">
        <w:rPr>
          <w:sz w:val="22"/>
          <w:szCs w:val="22"/>
        </w:rPr>
        <w:t>the trade openness shows that the market opening is low, the pass-through will be higher than when the economy is more open in the short and long term. This shows that the competitive pressure between enterprises when the economy is more open contributes to reducing the pass-through of exchange rates into prices. Thus, the policy of opening up the economy to welcome foreign enterprises to do business in Vietnam can bring about a more competitive environment, thereby helping to neutralize the movement in exchange rates to the levels price</w:t>
      </w:r>
      <w:r w:rsidRPr="000B3A8F">
        <w:rPr>
          <w:sz w:val="22"/>
          <w:szCs w:val="22"/>
        </w:rPr>
        <w:t>.</w:t>
      </w:r>
    </w:p>
    <w:bookmarkEnd w:id="14"/>
    <w:bookmarkEnd w:id="15"/>
    <w:p w:rsidR="00B653D2" w:rsidRPr="000B3A8F" w:rsidRDefault="00B653D2" w:rsidP="000B3A8F">
      <w:pPr>
        <w:spacing w:after="160" w:line="340" w:lineRule="exact"/>
        <w:rPr>
          <w:rFonts w:eastAsiaTheme="majorEastAsia"/>
          <w:b/>
          <w:sz w:val="22"/>
          <w:szCs w:val="22"/>
        </w:rPr>
      </w:pPr>
      <w:r w:rsidRPr="000B3A8F">
        <w:rPr>
          <w:b/>
          <w:sz w:val="22"/>
          <w:szCs w:val="22"/>
        </w:rPr>
        <w:br w:type="page"/>
      </w:r>
    </w:p>
    <w:p w:rsidR="001B1263" w:rsidRPr="000B3A8F" w:rsidRDefault="00C41B2E" w:rsidP="000B3A8F">
      <w:pPr>
        <w:pStyle w:val="Heading1"/>
        <w:spacing w:line="340" w:lineRule="exact"/>
        <w:jc w:val="center"/>
        <w:rPr>
          <w:rFonts w:ascii="Times New Roman" w:hAnsi="Times New Roman" w:cs="Times New Roman"/>
          <w:b/>
          <w:color w:val="auto"/>
          <w:sz w:val="22"/>
          <w:szCs w:val="22"/>
        </w:rPr>
      </w:pPr>
      <w:r w:rsidRPr="000B3A8F">
        <w:rPr>
          <w:rFonts w:ascii="Times New Roman" w:hAnsi="Times New Roman" w:cs="Times New Roman"/>
          <w:b/>
          <w:color w:val="auto"/>
          <w:sz w:val="22"/>
          <w:szCs w:val="22"/>
        </w:rPr>
        <w:lastRenderedPageBreak/>
        <w:t>Chapter</w:t>
      </w:r>
      <w:r w:rsidR="00410B5D" w:rsidRPr="000B3A8F">
        <w:rPr>
          <w:rFonts w:ascii="Times New Roman" w:hAnsi="Times New Roman" w:cs="Times New Roman"/>
          <w:b/>
          <w:color w:val="auto"/>
          <w:sz w:val="22"/>
          <w:szCs w:val="22"/>
        </w:rPr>
        <w:t xml:space="preserve"> 2: </w:t>
      </w:r>
      <w:r w:rsidR="007634BB" w:rsidRPr="000B3A8F">
        <w:rPr>
          <w:rFonts w:ascii="Times New Roman" w:hAnsi="Times New Roman" w:cs="Times New Roman"/>
          <w:b/>
          <w:color w:val="auto"/>
          <w:sz w:val="22"/>
          <w:szCs w:val="22"/>
        </w:rPr>
        <w:t>LITERATURE</w:t>
      </w:r>
    </w:p>
    <w:p w:rsidR="0082522F" w:rsidRPr="000B3A8F" w:rsidRDefault="00C41B2E" w:rsidP="000B3A8F">
      <w:pPr>
        <w:spacing w:line="340" w:lineRule="exact"/>
        <w:jc w:val="both"/>
        <w:rPr>
          <w:rStyle w:val="fontstyle01"/>
          <w:rFonts w:ascii="Times New Roman" w:hAnsi="Times New Roman"/>
          <w:sz w:val="22"/>
          <w:szCs w:val="22"/>
        </w:rPr>
      </w:pPr>
      <w:bookmarkStart w:id="23" w:name="OLE_LINK19"/>
      <w:bookmarkStart w:id="24" w:name="OLE_LINK20"/>
      <w:r w:rsidRPr="000B3A8F">
        <w:rPr>
          <w:rStyle w:val="fontstyle01"/>
          <w:rFonts w:ascii="Times New Roman" w:hAnsi="Times New Roman"/>
          <w:sz w:val="22"/>
          <w:szCs w:val="22"/>
        </w:rPr>
        <w:t xml:space="preserve">Among the studies on the exchange rates pass-through, many studies have emphasized the influence of macro-environmental factors on the level of transmission. For example, Ghosh (2013) emphasized that </w:t>
      </w:r>
      <w:r w:rsidR="00DD3E3E" w:rsidRPr="000B3A8F">
        <w:rPr>
          <w:rStyle w:val="fontstyle01"/>
          <w:rFonts w:ascii="Times New Roman" w:hAnsi="Times New Roman"/>
          <w:sz w:val="22"/>
          <w:szCs w:val="22"/>
        </w:rPr>
        <w:t xml:space="preserve">the role of a country's macroeconomic foundation </w:t>
      </w:r>
      <w:proofErr w:type="gramStart"/>
      <w:r w:rsidRPr="000B3A8F">
        <w:rPr>
          <w:rStyle w:val="fontstyle01"/>
          <w:rFonts w:ascii="Times New Roman" w:hAnsi="Times New Roman"/>
          <w:sz w:val="22"/>
          <w:szCs w:val="22"/>
        </w:rPr>
        <w:t xml:space="preserve">should be </w:t>
      </w:r>
      <w:r w:rsidR="00DD3E3E" w:rsidRPr="000B3A8F">
        <w:rPr>
          <w:rStyle w:val="fontstyle01"/>
          <w:rFonts w:ascii="Times New Roman" w:hAnsi="Times New Roman"/>
          <w:sz w:val="22"/>
          <w:szCs w:val="22"/>
        </w:rPr>
        <w:t>considered</w:t>
      </w:r>
      <w:proofErr w:type="gramEnd"/>
      <w:r w:rsidR="00DD3E3E" w:rsidRPr="000B3A8F">
        <w:rPr>
          <w:rStyle w:val="fontstyle01"/>
          <w:rFonts w:ascii="Times New Roman" w:hAnsi="Times New Roman"/>
          <w:sz w:val="22"/>
          <w:szCs w:val="22"/>
        </w:rPr>
        <w:t xml:space="preserve"> when analyzing the relationship ERPT</w:t>
      </w:r>
      <w:r w:rsidR="00630BB5" w:rsidRPr="000B3A8F">
        <w:rPr>
          <w:rStyle w:val="fontstyle01"/>
          <w:rFonts w:ascii="Times New Roman" w:hAnsi="Times New Roman"/>
          <w:sz w:val="22"/>
          <w:szCs w:val="22"/>
        </w:rPr>
        <w:t xml:space="preserve">. </w:t>
      </w:r>
      <w:r w:rsidR="00F42EB0" w:rsidRPr="000B3A8F">
        <w:rPr>
          <w:rStyle w:val="fontstyle01"/>
          <w:rFonts w:ascii="Times New Roman" w:hAnsi="Times New Roman"/>
          <w:sz w:val="22"/>
          <w:szCs w:val="22"/>
        </w:rPr>
        <w:t xml:space="preserve">In the same way, </w:t>
      </w:r>
      <w:r w:rsidRPr="000B3A8F">
        <w:rPr>
          <w:rStyle w:val="fontstyle01"/>
          <w:rFonts w:ascii="Times New Roman" w:hAnsi="Times New Roman"/>
          <w:sz w:val="22"/>
          <w:szCs w:val="22"/>
        </w:rPr>
        <w:t>Taylor (2000) has shown that a country with stable monetary policy and lower inflation rates will hav</w:t>
      </w:r>
      <w:r w:rsidR="00DD3E3E" w:rsidRPr="000B3A8F">
        <w:rPr>
          <w:rStyle w:val="fontstyle01"/>
          <w:rFonts w:ascii="Times New Roman" w:hAnsi="Times New Roman"/>
          <w:sz w:val="22"/>
          <w:szCs w:val="22"/>
        </w:rPr>
        <w:t xml:space="preserve">e lower transmission levels. </w:t>
      </w:r>
      <w:r w:rsidR="00F42EB0" w:rsidRPr="000B3A8F">
        <w:rPr>
          <w:rStyle w:val="fontstyle01"/>
          <w:rFonts w:ascii="Times New Roman" w:hAnsi="Times New Roman"/>
          <w:sz w:val="22"/>
          <w:szCs w:val="22"/>
        </w:rPr>
        <w:t xml:space="preserve">Furthermore, </w:t>
      </w:r>
      <w:r w:rsidRPr="000B3A8F">
        <w:rPr>
          <w:rStyle w:val="fontstyle01"/>
          <w:rFonts w:ascii="Times New Roman" w:hAnsi="Times New Roman"/>
          <w:sz w:val="22"/>
          <w:szCs w:val="22"/>
        </w:rPr>
        <w:t xml:space="preserve">fluctuations in exchange rates and exchange rate instability can also affect the level of exchange rate transmission mentioned in the studies of Devereux and Engel (2001), Froot and Klemper (1989), and Meurers (2003). </w:t>
      </w:r>
      <w:r w:rsidR="00CE77DD" w:rsidRPr="000B3A8F">
        <w:rPr>
          <w:rStyle w:val="fontstyle01"/>
          <w:rFonts w:ascii="Times New Roman" w:hAnsi="Times New Roman"/>
          <w:sz w:val="22"/>
          <w:szCs w:val="22"/>
        </w:rPr>
        <w:t>In addition, a</w:t>
      </w:r>
      <w:r w:rsidRPr="000B3A8F">
        <w:rPr>
          <w:rStyle w:val="fontstyle01"/>
          <w:rFonts w:ascii="Times New Roman" w:hAnsi="Times New Roman"/>
          <w:sz w:val="22"/>
          <w:szCs w:val="22"/>
        </w:rPr>
        <w:t>nother macro factor</w:t>
      </w:r>
      <w:r w:rsidR="00CE77DD" w:rsidRPr="000B3A8F">
        <w:rPr>
          <w:rStyle w:val="fontstyle01"/>
          <w:rFonts w:ascii="Times New Roman" w:hAnsi="Times New Roman"/>
          <w:sz w:val="22"/>
          <w:szCs w:val="22"/>
        </w:rPr>
        <w:t xml:space="preserve"> </w:t>
      </w:r>
      <w:r w:rsidRPr="000B3A8F">
        <w:rPr>
          <w:rStyle w:val="fontstyle01"/>
          <w:rFonts w:ascii="Times New Roman" w:hAnsi="Times New Roman"/>
          <w:sz w:val="22"/>
          <w:szCs w:val="22"/>
        </w:rPr>
        <w:t xml:space="preserve">can affect </w:t>
      </w:r>
      <w:r w:rsidR="00CE77DD" w:rsidRPr="000B3A8F">
        <w:rPr>
          <w:rStyle w:val="fontstyle01"/>
          <w:rFonts w:ascii="Times New Roman" w:hAnsi="Times New Roman"/>
          <w:sz w:val="22"/>
          <w:szCs w:val="22"/>
        </w:rPr>
        <w:t xml:space="preserve">the </w:t>
      </w:r>
      <w:r w:rsidRPr="000B3A8F">
        <w:rPr>
          <w:rStyle w:val="fontstyle01"/>
          <w:rFonts w:ascii="Times New Roman" w:hAnsi="Times New Roman"/>
          <w:sz w:val="22"/>
          <w:szCs w:val="22"/>
        </w:rPr>
        <w:t>ERPT is trade openness such as in the studies of McKinnon (196</w:t>
      </w:r>
      <w:r w:rsidR="00CE77DD" w:rsidRPr="000B3A8F">
        <w:rPr>
          <w:rStyle w:val="fontstyle01"/>
          <w:rFonts w:ascii="Times New Roman" w:hAnsi="Times New Roman"/>
          <w:sz w:val="22"/>
          <w:szCs w:val="22"/>
        </w:rPr>
        <w:t xml:space="preserve">3), Romer (1993), Menon (1995), and </w:t>
      </w:r>
      <w:r w:rsidRPr="000B3A8F">
        <w:rPr>
          <w:rStyle w:val="fontstyle01"/>
          <w:rFonts w:ascii="Times New Roman" w:hAnsi="Times New Roman"/>
          <w:sz w:val="22"/>
          <w:szCs w:val="22"/>
        </w:rPr>
        <w:t>McCarthy (2007).</w:t>
      </w:r>
    </w:p>
    <w:p w:rsidR="005C6EDE" w:rsidRPr="000B3A8F" w:rsidRDefault="003B3692" w:rsidP="000B3A8F">
      <w:pPr>
        <w:pStyle w:val="Heading2"/>
        <w:spacing w:line="340" w:lineRule="exact"/>
        <w:rPr>
          <w:rFonts w:ascii="Times New Roman" w:hAnsi="Times New Roman" w:cs="Times New Roman"/>
          <w:b/>
          <w:sz w:val="22"/>
          <w:szCs w:val="22"/>
        </w:rPr>
      </w:pPr>
      <w:bookmarkStart w:id="25" w:name="_Toc42611427"/>
      <w:bookmarkEnd w:id="23"/>
      <w:bookmarkEnd w:id="24"/>
      <w:r w:rsidRPr="000B3A8F">
        <w:rPr>
          <w:rFonts w:ascii="Times New Roman" w:hAnsi="Times New Roman" w:cs="Times New Roman"/>
          <w:b/>
          <w:color w:val="auto"/>
          <w:sz w:val="22"/>
          <w:szCs w:val="22"/>
        </w:rPr>
        <w:t>2.1</w:t>
      </w:r>
      <w:bookmarkStart w:id="26" w:name="OLE_LINK531"/>
      <w:bookmarkStart w:id="27" w:name="OLE_LINK530"/>
      <w:bookmarkStart w:id="28" w:name="OLE_LINK10"/>
      <w:bookmarkStart w:id="29" w:name="OLE_LINK112"/>
      <w:bookmarkEnd w:id="25"/>
      <w:r w:rsidR="005C6EDE" w:rsidRPr="000B3A8F">
        <w:rPr>
          <w:rFonts w:ascii="Times New Roman" w:hAnsi="Times New Roman" w:cs="Times New Roman"/>
          <w:b/>
          <w:color w:val="auto"/>
          <w:sz w:val="22"/>
          <w:szCs w:val="22"/>
        </w:rPr>
        <w:t xml:space="preserve"> </w:t>
      </w:r>
      <w:bookmarkStart w:id="30" w:name="OLE_LINK46"/>
      <w:bookmarkStart w:id="31" w:name="OLE_LINK47"/>
      <w:r w:rsidR="005C6EDE" w:rsidRPr="000B3A8F">
        <w:rPr>
          <w:rFonts w:ascii="Times New Roman" w:hAnsi="Times New Roman" w:cs="Times New Roman"/>
          <w:b/>
          <w:color w:val="auto"/>
          <w:sz w:val="22"/>
          <w:szCs w:val="22"/>
        </w:rPr>
        <w:t>The relationship between inflation environment and ERPT</w:t>
      </w:r>
      <w:bookmarkEnd w:id="30"/>
      <w:bookmarkEnd w:id="31"/>
    </w:p>
    <w:p w:rsidR="005C6EDE" w:rsidRPr="000B3A8F" w:rsidRDefault="005C6EDE" w:rsidP="000B3A8F">
      <w:pPr>
        <w:spacing w:line="340" w:lineRule="exact"/>
        <w:jc w:val="both"/>
        <w:rPr>
          <w:sz w:val="22"/>
          <w:szCs w:val="22"/>
        </w:rPr>
      </w:pPr>
      <w:r w:rsidRPr="000B3A8F">
        <w:rPr>
          <w:sz w:val="22"/>
          <w:szCs w:val="22"/>
        </w:rPr>
        <w:t xml:space="preserve">The different inflationary </w:t>
      </w:r>
      <w:r w:rsidR="00CE77DD" w:rsidRPr="000B3A8F">
        <w:rPr>
          <w:sz w:val="22"/>
          <w:szCs w:val="22"/>
        </w:rPr>
        <w:t>stage</w:t>
      </w:r>
      <w:r w:rsidRPr="000B3A8F">
        <w:rPr>
          <w:sz w:val="22"/>
          <w:szCs w:val="22"/>
        </w:rPr>
        <w:t xml:space="preserve"> influence the pricing behavior of businesses. Taylor (2000) uses a staggered pricing model to show that changes in the firm's valuation power come from changes in firm expectations about the persistence of changes in prices and costs of other businesses in the market. This means one firm will determine the price increase depending on the expectation of a persistent increase in costs and prices in other businesses.</w:t>
      </w:r>
    </w:p>
    <w:p w:rsidR="005C6EDE" w:rsidRPr="000B3A8F" w:rsidRDefault="005C6EDE" w:rsidP="000B3A8F">
      <w:pPr>
        <w:spacing w:line="340" w:lineRule="exact"/>
        <w:jc w:val="both"/>
        <w:rPr>
          <w:sz w:val="22"/>
          <w:szCs w:val="22"/>
        </w:rPr>
      </w:pPr>
      <w:r w:rsidRPr="000B3A8F">
        <w:rPr>
          <w:sz w:val="22"/>
          <w:szCs w:val="22"/>
        </w:rPr>
        <w:t xml:space="preserve">Baharumshah et al. (2017) on the one hand agrees with Taylor (2000) and adds the role of inflation instability. The authors argue that businesses will not forward changes in exchange rates into prices if inflation instability is low. </w:t>
      </w:r>
      <w:r w:rsidR="00A8284E" w:rsidRPr="000B3A8F">
        <w:rPr>
          <w:sz w:val="22"/>
          <w:szCs w:val="22"/>
        </w:rPr>
        <w:t>Because h</w:t>
      </w:r>
      <w:r w:rsidRPr="000B3A8F">
        <w:rPr>
          <w:sz w:val="22"/>
          <w:szCs w:val="22"/>
        </w:rPr>
        <w:t xml:space="preserve">igh volatility in inflation represents the instability and unpredictability of inflation in the </w:t>
      </w:r>
      <w:r w:rsidRPr="000B3A8F">
        <w:rPr>
          <w:sz w:val="22"/>
          <w:szCs w:val="22"/>
        </w:rPr>
        <w:lastRenderedPageBreak/>
        <w:t xml:space="preserve">economy, implying increased risks in the economy. </w:t>
      </w:r>
      <w:r w:rsidR="00A8284E" w:rsidRPr="000B3A8F">
        <w:rPr>
          <w:sz w:val="22"/>
          <w:szCs w:val="22"/>
        </w:rPr>
        <w:t>As a result, t</w:t>
      </w:r>
      <w:r w:rsidRPr="000B3A8F">
        <w:rPr>
          <w:sz w:val="22"/>
          <w:szCs w:val="22"/>
        </w:rPr>
        <w:t xml:space="preserve">his makes businesses tend to increase the level of the exchange rate into the price to limit risks on their side and vice versa. Therefore, the instability in inflation </w:t>
      </w:r>
      <w:proofErr w:type="gramStart"/>
      <w:r w:rsidRPr="000B3A8F">
        <w:rPr>
          <w:sz w:val="22"/>
          <w:szCs w:val="22"/>
        </w:rPr>
        <w:t>can also be considered</w:t>
      </w:r>
      <w:proofErr w:type="gramEnd"/>
      <w:r w:rsidRPr="000B3A8F">
        <w:rPr>
          <w:sz w:val="22"/>
          <w:szCs w:val="22"/>
        </w:rPr>
        <w:t xml:space="preserve"> as a source of nonlinear relationships in exchange rate transmission.</w:t>
      </w:r>
    </w:p>
    <w:p w:rsidR="003E771C" w:rsidRPr="000B3A8F" w:rsidRDefault="003E771C" w:rsidP="000B3A8F">
      <w:pPr>
        <w:spacing w:line="340" w:lineRule="exact"/>
        <w:jc w:val="both"/>
        <w:rPr>
          <w:color w:val="000000" w:themeColor="text1"/>
          <w:sz w:val="22"/>
          <w:szCs w:val="22"/>
        </w:rPr>
      </w:pPr>
      <w:r w:rsidRPr="000B3A8F">
        <w:rPr>
          <w:color w:val="000000" w:themeColor="text1"/>
          <w:sz w:val="22"/>
          <w:szCs w:val="22"/>
        </w:rPr>
        <w:t>Baqueiro et al. (2003) found evidence that ERPT during periods of high inflation was higher than low inflation periods. This evidence suggests that the relationship between the level of exchange rate exchange on domestic prices and the inflationary environment is nonlinear.</w:t>
      </w:r>
    </w:p>
    <w:p w:rsidR="003E771C" w:rsidRPr="000B3A8F" w:rsidRDefault="003E771C" w:rsidP="000B3A8F">
      <w:pPr>
        <w:spacing w:line="340" w:lineRule="exact"/>
        <w:jc w:val="both"/>
        <w:rPr>
          <w:color w:val="000000" w:themeColor="text1"/>
          <w:sz w:val="22"/>
          <w:szCs w:val="22"/>
        </w:rPr>
      </w:pPr>
      <w:r w:rsidRPr="000B3A8F">
        <w:rPr>
          <w:color w:val="000000" w:themeColor="text1"/>
          <w:sz w:val="22"/>
          <w:szCs w:val="22"/>
        </w:rPr>
        <w:t>Gagnon and Ihrig (2004) have developed a theoretical model to measure the influence of central banks' inflation stabilization policy on the level of exchange rate transmission. Results from this study show that countries with low and stable inflation levels imply that the central bank's inflation stabilization policy is effective, and the level of transmission from the exchange rate to inflation becomes low.</w:t>
      </w:r>
    </w:p>
    <w:p w:rsidR="003E771C" w:rsidRPr="000B3A8F" w:rsidRDefault="003E771C" w:rsidP="000B3A8F">
      <w:pPr>
        <w:spacing w:line="340" w:lineRule="exact"/>
        <w:jc w:val="both"/>
        <w:rPr>
          <w:color w:val="000000" w:themeColor="text1"/>
          <w:sz w:val="22"/>
          <w:szCs w:val="22"/>
        </w:rPr>
      </w:pPr>
      <w:r w:rsidRPr="000B3A8F">
        <w:rPr>
          <w:color w:val="000000" w:themeColor="text1"/>
          <w:sz w:val="22"/>
          <w:szCs w:val="22"/>
        </w:rPr>
        <w:t>Choudhri and Hakura (2006) show a positive and significant relationship between the level of transmission and the average inflation of countries in the sample.</w:t>
      </w:r>
    </w:p>
    <w:p w:rsidR="003E771C" w:rsidRPr="000B3A8F" w:rsidRDefault="003E771C" w:rsidP="000B3A8F">
      <w:pPr>
        <w:spacing w:line="340" w:lineRule="exact"/>
        <w:jc w:val="both"/>
        <w:rPr>
          <w:color w:val="000000" w:themeColor="text1"/>
          <w:sz w:val="22"/>
          <w:szCs w:val="22"/>
        </w:rPr>
      </w:pPr>
      <w:r w:rsidRPr="000B3A8F">
        <w:rPr>
          <w:color w:val="000000" w:themeColor="text1"/>
          <w:sz w:val="22"/>
          <w:szCs w:val="22"/>
        </w:rPr>
        <w:t>Ca’Zorzi et al. (2007) also show reliable evidence of the positive relationship between the exchange rate and inflation.</w:t>
      </w:r>
    </w:p>
    <w:p w:rsidR="007E0713" w:rsidRPr="000B3A8F" w:rsidRDefault="003E771C" w:rsidP="000B3A8F">
      <w:pPr>
        <w:spacing w:line="340" w:lineRule="exact"/>
        <w:jc w:val="both"/>
        <w:rPr>
          <w:color w:val="000000" w:themeColor="text1"/>
          <w:sz w:val="22"/>
          <w:szCs w:val="22"/>
        </w:rPr>
      </w:pPr>
      <w:r w:rsidRPr="000B3A8F">
        <w:rPr>
          <w:color w:val="000000" w:themeColor="text1"/>
          <w:sz w:val="22"/>
          <w:szCs w:val="22"/>
        </w:rPr>
        <w:t xml:space="preserve">Nogueira and León-Ledesma (2011) use a smooth transition regression model to measure the transmission of exchange rate into inflation in a nonlinear manner, the results show that ERPT depends on the level of inflation. </w:t>
      </w:r>
      <w:r w:rsidR="00A8284E" w:rsidRPr="000B3A8F">
        <w:rPr>
          <w:color w:val="000000" w:themeColor="text1"/>
          <w:sz w:val="22"/>
          <w:szCs w:val="22"/>
        </w:rPr>
        <w:t>Consequently, t</w:t>
      </w:r>
      <w:r w:rsidRPr="000B3A8F">
        <w:rPr>
          <w:color w:val="000000" w:themeColor="text1"/>
          <w:sz w:val="22"/>
          <w:szCs w:val="22"/>
        </w:rPr>
        <w:t>he level of transmission will be higher when inflation exceeds a threshold level and vice versa.</w:t>
      </w:r>
    </w:p>
    <w:p w:rsidR="003B3692" w:rsidRPr="000B3A8F" w:rsidRDefault="003B3692" w:rsidP="000B3A8F">
      <w:pPr>
        <w:pStyle w:val="Heading2"/>
        <w:spacing w:line="340" w:lineRule="exact"/>
        <w:rPr>
          <w:rFonts w:ascii="Times New Roman" w:hAnsi="Times New Roman" w:cs="Times New Roman"/>
          <w:b/>
          <w:color w:val="auto"/>
          <w:sz w:val="22"/>
          <w:szCs w:val="22"/>
        </w:rPr>
      </w:pPr>
      <w:bookmarkStart w:id="32" w:name="_Toc42611428"/>
      <w:bookmarkEnd w:id="26"/>
      <w:bookmarkEnd w:id="27"/>
      <w:r w:rsidRPr="000B3A8F">
        <w:rPr>
          <w:rFonts w:ascii="Times New Roman" w:hAnsi="Times New Roman" w:cs="Times New Roman"/>
          <w:b/>
          <w:color w:val="auto"/>
          <w:sz w:val="22"/>
          <w:szCs w:val="22"/>
        </w:rPr>
        <w:lastRenderedPageBreak/>
        <w:t>2.</w:t>
      </w:r>
      <w:bookmarkEnd w:id="32"/>
      <w:r w:rsidR="00B4321B" w:rsidRPr="000B3A8F">
        <w:rPr>
          <w:rFonts w:ascii="Times New Roman" w:hAnsi="Times New Roman" w:cs="Times New Roman"/>
          <w:b/>
          <w:color w:val="auto"/>
          <w:sz w:val="22"/>
          <w:szCs w:val="22"/>
        </w:rPr>
        <w:t xml:space="preserve">2 </w:t>
      </w:r>
      <w:r w:rsidR="009222C2" w:rsidRPr="000B3A8F">
        <w:rPr>
          <w:rFonts w:ascii="Times New Roman" w:hAnsi="Times New Roman" w:cs="Times New Roman"/>
          <w:b/>
          <w:color w:val="auto"/>
          <w:sz w:val="22"/>
          <w:szCs w:val="22"/>
        </w:rPr>
        <w:t>The r</w:t>
      </w:r>
      <w:r w:rsidR="003E771C" w:rsidRPr="000B3A8F">
        <w:rPr>
          <w:rFonts w:ascii="Times New Roman" w:hAnsi="Times New Roman" w:cs="Times New Roman"/>
          <w:b/>
          <w:color w:val="auto"/>
          <w:sz w:val="22"/>
          <w:szCs w:val="22"/>
        </w:rPr>
        <w:t xml:space="preserve">elationship between exchange rate </w:t>
      </w:r>
      <w:r w:rsidR="005F35D5" w:rsidRPr="000B3A8F">
        <w:rPr>
          <w:rFonts w:ascii="Times New Roman" w:hAnsi="Times New Roman" w:cs="Times New Roman"/>
          <w:b/>
          <w:color w:val="auto"/>
          <w:sz w:val="22"/>
          <w:szCs w:val="22"/>
        </w:rPr>
        <w:t xml:space="preserve">volatility </w:t>
      </w:r>
      <w:r w:rsidR="003E771C" w:rsidRPr="000B3A8F">
        <w:rPr>
          <w:rFonts w:ascii="Times New Roman" w:hAnsi="Times New Roman" w:cs="Times New Roman"/>
          <w:b/>
          <w:color w:val="auto"/>
          <w:sz w:val="22"/>
          <w:szCs w:val="22"/>
        </w:rPr>
        <w:t>and ERPT</w:t>
      </w:r>
    </w:p>
    <w:p w:rsidR="003E771C" w:rsidRPr="000B3A8F" w:rsidRDefault="003E771C" w:rsidP="000B3A8F">
      <w:pPr>
        <w:spacing w:line="340" w:lineRule="exact"/>
        <w:jc w:val="both"/>
        <w:rPr>
          <w:rStyle w:val="fontstyle01"/>
          <w:rFonts w:ascii="Times New Roman" w:hAnsi="Times New Roman"/>
          <w:color w:val="000000" w:themeColor="text1"/>
          <w:sz w:val="22"/>
          <w:szCs w:val="22"/>
        </w:rPr>
      </w:pPr>
      <w:bookmarkStart w:id="33" w:name="OLE_LINK543"/>
      <w:bookmarkStart w:id="34" w:name="OLE_LINK542"/>
      <w:r w:rsidRPr="000B3A8F">
        <w:rPr>
          <w:rStyle w:val="fontstyle01"/>
          <w:rFonts w:ascii="Times New Roman" w:hAnsi="Times New Roman"/>
          <w:color w:val="000000" w:themeColor="text1"/>
          <w:sz w:val="22"/>
          <w:szCs w:val="22"/>
        </w:rPr>
        <w:t xml:space="preserve">Previous studies on the effects of exchange rate fluctuations on exchange rate transmission show that prices in the economy are asymmetric in response to trends and size changes in exchange rates. A number of theoretical models </w:t>
      </w:r>
      <w:proofErr w:type="gramStart"/>
      <w:r w:rsidRPr="000B3A8F">
        <w:rPr>
          <w:rStyle w:val="fontstyle01"/>
          <w:rFonts w:ascii="Times New Roman" w:hAnsi="Times New Roman"/>
          <w:color w:val="000000" w:themeColor="text1"/>
          <w:sz w:val="22"/>
          <w:szCs w:val="22"/>
        </w:rPr>
        <w:t>have been used</w:t>
      </w:r>
      <w:proofErr w:type="gramEnd"/>
      <w:r w:rsidRPr="000B3A8F">
        <w:rPr>
          <w:rStyle w:val="fontstyle01"/>
          <w:rFonts w:ascii="Times New Roman" w:hAnsi="Times New Roman"/>
          <w:color w:val="000000" w:themeColor="text1"/>
          <w:sz w:val="22"/>
          <w:szCs w:val="22"/>
        </w:rPr>
        <w:t xml:space="preserve"> to explain the asymmetric response of price</w:t>
      </w:r>
      <w:r w:rsidR="00306853" w:rsidRPr="000B3A8F">
        <w:rPr>
          <w:rStyle w:val="fontstyle01"/>
          <w:rFonts w:ascii="Times New Roman" w:hAnsi="Times New Roman"/>
          <w:color w:val="000000" w:themeColor="text1"/>
          <w:sz w:val="22"/>
          <w:szCs w:val="22"/>
        </w:rPr>
        <w:t>s to exchange rate fluctuations, such as</w:t>
      </w:r>
      <w:r w:rsidRPr="000B3A8F">
        <w:rPr>
          <w:rStyle w:val="fontstyle01"/>
          <w:rFonts w:ascii="Times New Roman" w:hAnsi="Times New Roman"/>
          <w:color w:val="000000" w:themeColor="text1"/>
          <w:sz w:val="22"/>
          <w:szCs w:val="22"/>
        </w:rPr>
        <w:t xml:space="preserve"> maintain market share, production shift effects, limit supply capacity, and menu costs.</w:t>
      </w:r>
    </w:p>
    <w:p w:rsidR="003E771C" w:rsidRPr="000B3A8F" w:rsidRDefault="003E771C" w:rsidP="000B3A8F">
      <w:pPr>
        <w:spacing w:line="340" w:lineRule="exact"/>
        <w:jc w:val="both"/>
        <w:rPr>
          <w:rStyle w:val="fontstyle01"/>
          <w:rFonts w:ascii="Times New Roman" w:hAnsi="Times New Roman"/>
          <w:color w:val="000000" w:themeColor="text1"/>
          <w:sz w:val="22"/>
          <w:szCs w:val="22"/>
        </w:rPr>
      </w:pPr>
      <w:r w:rsidRPr="000B3A8F">
        <w:rPr>
          <w:rStyle w:val="fontstyle01"/>
          <w:rFonts w:ascii="Times New Roman" w:hAnsi="Times New Roman"/>
          <w:color w:val="000000" w:themeColor="text1"/>
          <w:sz w:val="22"/>
          <w:szCs w:val="22"/>
        </w:rPr>
        <w:t xml:space="preserve">Knetter (1994) shows that in the context of exchange rate fluctuations, the price-setting behavior of enterprises </w:t>
      </w:r>
      <w:proofErr w:type="gramStart"/>
      <w:r w:rsidRPr="000B3A8F">
        <w:rPr>
          <w:rStyle w:val="fontstyle01"/>
          <w:rFonts w:ascii="Times New Roman" w:hAnsi="Times New Roman"/>
          <w:color w:val="000000" w:themeColor="text1"/>
          <w:sz w:val="22"/>
          <w:szCs w:val="22"/>
        </w:rPr>
        <w:t>will be affected</w:t>
      </w:r>
      <w:proofErr w:type="gramEnd"/>
      <w:r w:rsidRPr="000B3A8F">
        <w:rPr>
          <w:rStyle w:val="fontstyle01"/>
          <w:rFonts w:ascii="Times New Roman" w:hAnsi="Times New Roman"/>
          <w:color w:val="000000" w:themeColor="text1"/>
          <w:sz w:val="22"/>
          <w:szCs w:val="22"/>
        </w:rPr>
        <w:t xml:space="preserve"> in different directions due to conditions of supply limit, trade barriers makes the level of transition changes in the exchange rate into the selling price will change.</w:t>
      </w:r>
    </w:p>
    <w:p w:rsidR="005F35D5" w:rsidRPr="000B3A8F" w:rsidRDefault="003E771C" w:rsidP="000B3A8F">
      <w:pPr>
        <w:spacing w:line="340" w:lineRule="exact"/>
        <w:jc w:val="both"/>
        <w:rPr>
          <w:rStyle w:val="fontstyle01"/>
          <w:rFonts w:ascii="Times New Roman" w:hAnsi="Times New Roman"/>
          <w:color w:val="000000" w:themeColor="text1"/>
          <w:sz w:val="22"/>
          <w:szCs w:val="22"/>
        </w:rPr>
      </w:pPr>
      <w:r w:rsidRPr="000B3A8F">
        <w:rPr>
          <w:rStyle w:val="fontstyle01"/>
          <w:rFonts w:ascii="Times New Roman" w:hAnsi="Times New Roman"/>
          <w:color w:val="000000" w:themeColor="text1"/>
          <w:sz w:val="22"/>
          <w:szCs w:val="22"/>
        </w:rPr>
        <w:t xml:space="preserve">Gil-Pareja (2000) finds evidence of asymmetry in the practice of setting prices to trade by </w:t>
      </w:r>
      <w:r w:rsidR="001765A7" w:rsidRPr="000B3A8F">
        <w:rPr>
          <w:rStyle w:val="fontstyle01"/>
          <w:rFonts w:ascii="Times New Roman" w:hAnsi="Times New Roman"/>
          <w:color w:val="000000" w:themeColor="text1"/>
          <w:sz w:val="22"/>
          <w:szCs w:val="22"/>
        </w:rPr>
        <w:t xml:space="preserve">firms at a time when exporters’ </w:t>
      </w:r>
      <w:r w:rsidRPr="000B3A8F">
        <w:rPr>
          <w:rStyle w:val="fontstyle01"/>
          <w:rFonts w:ascii="Times New Roman" w:hAnsi="Times New Roman"/>
          <w:color w:val="000000" w:themeColor="text1"/>
          <w:sz w:val="22"/>
          <w:szCs w:val="22"/>
        </w:rPr>
        <w:t>cur</w:t>
      </w:r>
      <w:r w:rsidR="001765A7" w:rsidRPr="000B3A8F">
        <w:rPr>
          <w:rStyle w:val="fontstyle01"/>
          <w:rFonts w:ascii="Times New Roman" w:hAnsi="Times New Roman"/>
          <w:color w:val="000000" w:themeColor="text1"/>
          <w:sz w:val="22"/>
          <w:szCs w:val="22"/>
        </w:rPr>
        <w:t xml:space="preserve">rencies are rising and falling. In addition, </w:t>
      </w:r>
      <w:r w:rsidRPr="000B3A8F">
        <w:rPr>
          <w:rStyle w:val="fontstyle01"/>
          <w:rFonts w:ascii="Times New Roman" w:hAnsi="Times New Roman"/>
          <w:color w:val="000000" w:themeColor="text1"/>
          <w:sz w:val="22"/>
          <w:szCs w:val="22"/>
        </w:rPr>
        <w:t>Pollard and Coughlin (2004) show that enterprises also react asymmetrically to big or s</w:t>
      </w:r>
      <w:r w:rsidR="001765A7" w:rsidRPr="000B3A8F">
        <w:rPr>
          <w:rStyle w:val="fontstyle01"/>
          <w:rFonts w:ascii="Times New Roman" w:hAnsi="Times New Roman"/>
          <w:color w:val="000000" w:themeColor="text1"/>
          <w:sz w:val="22"/>
          <w:szCs w:val="22"/>
        </w:rPr>
        <w:t xml:space="preserve">mall changes in exchange rates. Furthermore, </w:t>
      </w:r>
      <w:r w:rsidRPr="000B3A8F">
        <w:rPr>
          <w:rStyle w:val="fontstyle01"/>
          <w:rFonts w:ascii="Times New Roman" w:hAnsi="Times New Roman"/>
          <w:color w:val="000000" w:themeColor="text1"/>
          <w:sz w:val="22"/>
          <w:szCs w:val="22"/>
        </w:rPr>
        <w:t>Bussière (2013), Faryna (2016) also show that exchange rate transmissi</w:t>
      </w:r>
      <w:bookmarkStart w:id="35" w:name="OLE_LINK48"/>
      <w:bookmarkStart w:id="36" w:name="OLE_LINK49"/>
      <w:r w:rsidR="001765A7" w:rsidRPr="000B3A8F">
        <w:rPr>
          <w:rStyle w:val="fontstyle01"/>
          <w:rFonts w:ascii="Times New Roman" w:hAnsi="Times New Roman"/>
          <w:color w:val="000000" w:themeColor="text1"/>
          <w:sz w:val="22"/>
          <w:szCs w:val="22"/>
        </w:rPr>
        <w:t xml:space="preserve">on is nonlinear and asymmetric. However, </w:t>
      </w:r>
      <w:r w:rsidR="00D10108" w:rsidRPr="000B3A8F">
        <w:rPr>
          <w:rStyle w:val="fontstyle01"/>
          <w:rFonts w:ascii="Times New Roman" w:hAnsi="Times New Roman"/>
          <w:color w:val="000000" w:themeColor="text1"/>
          <w:sz w:val="22"/>
          <w:szCs w:val="22"/>
        </w:rPr>
        <w:t>Cheikh (2012) shows no clear evidence of asymmetric trends of ERPT in the sample countries.</w:t>
      </w:r>
      <w:bookmarkStart w:id="37" w:name="_Toc42611429"/>
      <w:bookmarkStart w:id="38" w:name="OLE_LINK148"/>
      <w:bookmarkStart w:id="39" w:name="OLE_LINK149"/>
      <w:bookmarkStart w:id="40" w:name="OLE_LINK12"/>
      <w:bookmarkEnd w:id="28"/>
      <w:bookmarkEnd w:id="29"/>
      <w:bookmarkEnd w:id="33"/>
      <w:bookmarkEnd w:id="34"/>
      <w:bookmarkEnd w:id="35"/>
      <w:bookmarkEnd w:id="36"/>
    </w:p>
    <w:p w:rsidR="005F35D5" w:rsidRPr="000B3A8F" w:rsidRDefault="003B3692" w:rsidP="000B3A8F">
      <w:pPr>
        <w:pStyle w:val="Heading2"/>
        <w:spacing w:line="340" w:lineRule="exact"/>
        <w:rPr>
          <w:rFonts w:ascii="Times New Roman" w:hAnsi="Times New Roman" w:cs="Times New Roman"/>
          <w:b/>
          <w:color w:val="auto"/>
          <w:sz w:val="22"/>
          <w:szCs w:val="22"/>
        </w:rPr>
      </w:pPr>
      <w:r w:rsidRPr="000B3A8F">
        <w:rPr>
          <w:rFonts w:ascii="Times New Roman" w:hAnsi="Times New Roman" w:cs="Times New Roman"/>
          <w:b/>
          <w:color w:val="auto"/>
          <w:sz w:val="22"/>
          <w:szCs w:val="22"/>
        </w:rPr>
        <w:t>2.</w:t>
      </w:r>
      <w:bookmarkEnd w:id="37"/>
      <w:r w:rsidR="00B4321B" w:rsidRPr="000B3A8F">
        <w:rPr>
          <w:rFonts w:ascii="Times New Roman" w:hAnsi="Times New Roman" w:cs="Times New Roman"/>
          <w:b/>
          <w:color w:val="auto"/>
          <w:sz w:val="22"/>
          <w:szCs w:val="22"/>
        </w:rPr>
        <w:t xml:space="preserve">3 </w:t>
      </w:r>
      <w:r w:rsidR="005F35D5" w:rsidRPr="000B3A8F">
        <w:rPr>
          <w:rFonts w:ascii="Times New Roman" w:hAnsi="Times New Roman" w:cs="Times New Roman"/>
          <w:b/>
          <w:color w:val="auto"/>
          <w:sz w:val="22"/>
          <w:szCs w:val="22"/>
        </w:rPr>
        <w:t>The relationship between economic cycle and ERPT</w:t>
      </w:r>
      <w:bookmarkStart w:id="41" w:name="_Toc42611430"/>
      <w:bookmarkStart w:id="42" w:name="OLE_LINK156"/>
      <w:bookmarkStart w:id="43" w:name="OLE_LINK157"/>
      <w:bookmarkEnd w:id="38"/>
      <w:bookmarkEnd w:id="39"/>
      <w:bookmarkEnd w:id="40"/>
    </w:p>
    <w:p w:rsidR="005F35D5" w:rsidRPr="000B3A8F" w:rsidRDefault="005F35D5" w:rsidP="000B3A8F">
      <w:pPr>
        <w:spacing w:line="340" w:lineRule="exact"/>
        <w:jc w:val="both"/>
        <w:rPr>
          <w:sz w:val="22"/>
          <w:szCs w:val="22"/>
        </w:rPr>
      </w:pPr>
      <w:r w:rsidRPr="000B3A8F">
        <w:rPr>
          <w:sz w:val="22"/>
          <w:szCs w:val="22"/>
        </w:rPr>
        <w:t xml:space="preserve">During the booming period, the level of exchange rate transmission </w:t>
      </w:r>
      <w:proofErr w:type="gramStart"/>
      <w:r w:rsidRPr="000B3A8F">
        <w:rPr>
          <w:sz w:val="22"/>
          <w:szCs w:val="22"/>
        </w:rPr>
        <w:t>is expected</w:t>
      </w:r>
      <w:proofErr w:type="gramEnd"/>
      <w:r w:rsidRPr="000B3A8F">
        <w:rPr>
          <w:sz w:val="22"/>
          <w:szCs w:val="22"/>
        </w:rPr>
        <w:t xml:space="preserve"> to be higher than during the economic recession. The reason is that companies find it easier to shift changes in exchange rates into their selling prices during times of economic growth than when the economy is stagnant and their sales are declining.</w:t>
      </w:r>
    </w:p>
    <w:p w:rsidR="005F35D5" w:rsidRPr="000B3A8F" w:rsidRDefault="005F35D5" w:rsidP="000B3A8F">
      <w:pPr>
        <w:spacing w:line="340" w:lineRule="exact"/>
        <w:jc w:val="both"/>
        <w:rPr>
          <w:sz w:val="22"/>
          <w:szCs w:val="22"/>
        </w:rPr>
      </w:pPr>
      <w:r w:rsidRPr="000B3A8F">
        <w:rPr>
          <w:sz w:val="22"/>
          <w:szCs w:val="22"/>
        </w:rPr>
        <w:lastRenderedPageBreak/>
        <w:t>Goldfajn and Werlang (2000) show that the recession leads to higher price transmis</w:t>
      </w:r>
      <w:r w:rsidR="00006EC7" w:rsidRPr="000B3A8F">
        <w:rPr>
          <w:sz w:val="22"/>
          <w:szCs w:val="22"/>
        </w:rPr>
        <w:t xml:space="preserve">sion than the expansion period. </w:t>
      </w:r>
      <w:r w:rsidRPr="000B3A8F">
        <w:rPr>
          <w:sz w:val="22"/>
          <w:szCs w:val="22"/>
        </w:rPr>
        <w:t xml:space="preserve">Meanwhile, Correa and Minella (2006), Przystupa and Wróbel (2011) through the thresholds of Phillips </w:t>
      </w:r>
      <w:r w:rsidR="00006EC7" w:rsidRPr="000B3A8F">
        <w:rPr>
          <w:sz w:val="22"/>
          <w:szCs w:val="22"/>
        </w:rPr>
        <w:t>curve</w:t>
      </w:r>
      <w:r w:rsidRPr="000B3A8F">
        <w:rPr>
          <w:sz w:val="22"/>
          <w:szCs w:val="22"/>
        </w:rPr>
        <w:t xml:space="preserve"> also confirm the asymmetric behavior of ERPT with economic growth.</w:t>
      </w:r>
    </w:p>
    <w:p w:rsidR="005F35D5" w:rsidRPr="000B3A8F" w:rsidRDefault="005F35D5" w:rsidP="000B3A8F">
      <w:pPr>
        <w:spacing w:line="340" w:lineRule="exact"/>
        <w:jc w:val="both"/>
        <w:rPr>
          <w:sz w:val="22"/>
          <w:szCs w:val="22"/>
        </w:rPr>
      </w:pPr>
      <w:r w:rsidRPr="000B3A8F">
        <w:rPr>
          <w:sz w:val="22"/>
          <w:szCs w:val="22"/>
        </w:rPr>
        <w:t>Nogueira and León-Ledesma (2008) show evidence of a nonlinear relationship between ERPT and yield disparities in several countries in their sample.</w:t>
      </w:r>
    </w:p>
    <w:p w:rsidR="00465E43" w:rsidRPr="000B3A8F" w:rsidRDefault="003B3692" w:rsidP="000B3A8F">
      <w:pPr>
        <w:pStyle w:val="Heading2"/>
        <w:spacing w:line="340" w:lineRule="exact"/>
        <w:rPr>
          <w:rFonts w:ascii="Times New Roman" w:hAnsi="Times New Roman" w:cs="Times New Roman"/>
          <w:b/>
          <w:color w:val="auto"/>
          <w:sz w:val="22"/>
          <w:szCs w:val="22"/>
        </w:rPr>
      </w:pPr>
      <w:r w:rsidRPr="000B3A8F">
        <w:rPr>
          <w:rFonts w:ascii="Times New Roman" w:hAnsi="Times New Roman" w:cs="Times New Roman"/>
          <w:b/>
          <w:color w:val="auto"/>
          <w:sz w:val="22"/>
          <w:szCs w:val="22"/>
        </w:rPr>
        <w:t>2.</w:t>
      </w:r>
      <w:bookmarkStart w:id="44" w:name="OLE_LINK126"/>
      <w:bookmarkStart w:id="45" w:name="OLE_LINK164"/>
      <w:bookmarkStart w:id="46" w:name="OLE_LINK163"/>
      <w:bookmarkStart w:id="47" w:name="OLE_LINK125"/>
      <w:bookmarkStart w:id="48" w:name="OLE_LINK124"/>
      <w:bookmarkEnd w:id="41"/>
      <w:bookmarkEnd w:id="42"/>
      <w:bookmarkEnd w:id="43"/>
      <w:r w:rsidR="00B42D45" w:rsidRPr="000B3A8F">
        <w:rPr>
          <w:rFonts w:ascii="Times New Roman" w:hAnsi="Times New Roman" w:cs="Times New Roman"/>
          <w:b/>
          <w:color w:val="auto"/>
          <w:sz w:val="22"/>
          <w:szCs w:val="22"/>
        </w:rPr>
        <w:t xml:space="preserve">4 </w:t>
      </w:r>
      <w:r w:rsidR="00465E43" w:rsidRPr="000B3A8F">
        <w:rPr>
          <w:rFonts w:ascii="Times New Roman" w:hAnsi="Times New Roman" w:cs="Times New Roman"/>
          <w:b/>
          <w:color w:val="auto"/>
          <w:sz w:val="22"/>
          <w:szCs w:val="22"/>
        </w:rPr>
        <w:t>The relationship between trade openness and ERPT</w:t>
      </w:r>
    </w:p>
    <w:p w:rsidR="00465E43" w:rsidRPr="000B3A8F" w:rsidRDefault="00465E43" w:rsidP="000B3A8F">
      <w:pPr>
        <w:spacing w:line="340" w:lineRule="exact"/>
        <w:jc w:val="both"/>
        <w:rPr>
          <w:sz w:val="22"/>
          <w:szCs w:val="22"/>
        </w:rPr>
      </w:pPr>
      <w:r w:rsidRPr="000B3A8F">
        <w:rPr>
          <w:sz w:val="22"/>
          <w:szCs w:val="22"/>
        </w:rPr>
        <w:t>Most of the studies on this topic expect a positive relationship between ERPT and trade openness. The higher the trade openness</w:t>
      </w:r>
      <w:r w:rsidR="00006EC7" w:rsidRPr="000B3A8F">
        <w:rPr>
          <w:sz w:val="22"/>
          <w:szCs w:val="22"/>
        </w:rPr>
        <w:t xml:space="preserve"> is</w:t>
      </w:r>
      <w:r w:rsidRPr="000B3A8F">
        <w:rPr>
          <w:sz w:val="22"/>
          <w:szCs w:val="22"/>
        </w:rPr>
        <w:t>, the higher the price response to changes in the exchange rate (McKinnon (1963), McCarthy (2007)).</w:t>
      </w:r>
    </w:p>
    <w:p w:rsidR="00465E43" w:rsidRPr="000B3A8F" w:rsidRDefault="00465E43" w:rsidP="000B3A8F">
      <w:pPr>
        <w:spacing w:line="340" w:lineRule="exact"/>
        <w:jc w:val="both"/>
        <w:rPr>
          <w:sz w:val="22"/>
          <w:szCs w:val="22"/>
        </w:rPr>
      </w:pPr>
      <w:r w:rsidRPr="000B3A8F">
        <w:rPr>
          <w:sz w:val="22"/>
          <w:szCs w:val="22"/>
        </w:rPr>
        <w:t xml:space="preserve">However, Romer (1993) provides empirical evidence that inflation </w:t>
      </w:r>
      <w:proofErr w:type="gramStart"/>
      <w:r w:rsidRPr="000B3A8F">
        <w:rPr>
          <w:sz w:val="22"/>
          <w:szCs w:val="22"/>
        </w:rPr>
        <w:t>is inversely related</w:t>
      </w:r>
      <w:proofErr w:type="gramEnd"/>
      <w:r w:rsidRPr="000B3A8F">
        <w:rPr>
          <w:sz w:val="22"/>
          <w:szCs w:val="22"/>
        </w:rPr>
        <w:t xml:space="preserve"> to openness, whereby the average rate of inflation is smaller in countries with greater openness. According to Taylor's (2000) hypothesis, inflation and transmission </w:t>
      </w:r>
      <w:proofErr w:type="gramStart"/>
      <w:r w:rsidRPr="000B3A8F">
        <w:rPr>
          <w:sz w:val="22"/>
          <w:szCs w:val="22"/>
        </w:rPr>
        <w:t>are positively correlated</w:t>
      </w:r>
      <w:proofErr w:type="gramEnd"/>
      <w:r w:rsidRPr="000B3A8F">
        <w:rPr>
          <w:sz w:val="22"/>
          <w:szCs w:val="22"/>
        </w:rPr>
        <w:t>, so it is possible to make a statement that the trade openness and exchange rate transmission coefficient are negatively correlated.</w:t>
      </w:r>
    </w:p>
    <w:p w:rsidR="00465E43" w:rsidRPr="000B3A8F" w:rsidRDefault="00465E43" w:rsidP="000B3A8F">
      <w:pPr>
        <w:spacing w:line="340" w:lineRule="exact"/>
        <w:jc w:val="both"/>
        <w:rPr>
          <w:sz w:val="22"/>
          <w:szCs w:val="22"/>
        </w:rPr>
      </w:pPr>
      <w:r w:rsidRPr="000B3A8F">
        <w:rPr>
          <w:sz w:val="22"/>
          <w:szCs w:val="22"/>
        </w:rPr>
        <w:t>Menon (1995) concluded that the level of transmission is different due to the influence of the size and openness of each economy.</w:t>
      </w:r>
    </w:p>
    <w:p w:rsidR="00465E43" w:rsidRPr="000B3A8F" w:rsidRDefault="00465E43" w:rsidP="000B3A8F">
      <w:pPr>
        <w:spacing w:line="340" w:lineRule="exact"/>
        <w:jc w:val="both"/>
        <w:rPr>
          <w:sz w:val="22"/>
          <w:szCs w:val="22"/>
        </w:rPr>
      </w:pPr>
      <w:r w:rsidRPr="000B3A8F">
        <w:rPr>
          <w:sz w:val="22"/>
          <w:szCs w:val="22"/>
        </w:rPr>
        <w:t>McCarthy (2000) and Bitāns (2005) the level of transmission has a positive relationship with the openness of the country.</w:t>
      </w:r>
    </w:p>
    <w:p w:rsidR="00465E43" w:rsidRPr="000B3A8F" w:rsidRDefault="00465E43" w:rsidP="000B3A8F">
      <w:pPr>
        <w:spacing w:line="340" w:lineRule="exact"/>
        <w:jc w:val="both"/>
        <w:rPr>
          <w:sz w:val="22"/>
          <w:szCs w:val="22"/>
        </w:rPr>
      </w:pPr>
      <w:r w:rsidRPr="000B3A8F">
        <w:rPr>
          <w:sz w:val="22"/>
          <w:szCs w:val="22"/>
        </w:rPr>
        <w:t>Barhoumi (2005) shows that the degree of national opening, when measured by tariff barriers, has an effect on ERPT, the lower level of barriers means that the greater the openness, the greater the long-term ERPT transmission.</w:t>
      </w:r>
    </w:p>
    <w:p w:rsidR="00465E43" w:rsidRPr="000B3A8F" w:rsidRDefault="00465E43" w:rsidP="000B3A8F">
      <w:pPr>
        <w:spacing w:line="340" w:lineRule="exact"/>
        <w:jc w:val="both"/>
        <w:rPr>
          <w:sz w:val="22"/>
          <w:szCs w:val="22"/>
        </w:rPr>
      </w:pPr>
      <w:r w:rsidRPr="000B3A8F">
        <w:rPr>
          <w:sz w:val="22"/>
          <w:szCs w:val="22"/>
        </w:rPr>
        <w:lastRenderedPageBreak/>
        <w:t>Research by Ca’Zorzi et al. (2007) also suggests that the more open the country is to trade, the more changes in exchange rates are more closely communicated into the consumer price index through import prices.</w:t>
      </w:r>
    </w:p>
    <w:p w:rsidR="00465E43" w:rsidRPr="000B3A8F" w:rsidRDefault="00465E43" w:rsidP="000B3A8F">
      <w:pPr>
        <w:spacing w:line="340" w:lineRule="exact"/>
        <w:jc w:val="both"/>
        <w:rPr>
          <w:sz w:val="22"/>
          <w:szCs w:val="22"/>
        </w:rPr>
      </w:pPr>
      <w:r w:rsidRPr="000B3A8F">
        <w:rPr>
          <w:sz w:val="22"/>
          <w:szCs w:val="22"/>
        </w:rPr>
        <w:t>Ghosh (2013) also finds evidence that countries pursuing larger trade opening policies have a positive effect on ERPT.</w:t>
      </w:r>
    </w:p>
    <w:p w:rsidR="009152DD" w:rsidRPr="000B3A8F" w:rsidRDefault="00465E43" w:rsidP="000B3A8F">
      <w:pPr>
        <w:spacing w:line="340" w:lineRule="exact"/>
        <w:jc w:val="both"/>
        <w:rPr>
          <w:sz w:val="22"/>
          <w:szCs w:val="22"/>
        </w:rPr>
      </w:pPr>
      <w:r w:rsidRPr="000B3A8F">
        <w:rPr>
          <w:sz w:val="22"/>
          <w:szCs w:val="22"/>
        </w:rPr>
        <w:t>Sek and Kapsalyamova (2008) find a weak link between trade openness and exchange rate transmission in four Asian countries.</w:t>
      </w:r>
    </w:p>
    <w:p w:rsidR="003B3692" w:rsidRPr="000B3A8F" w:rsidRDefault="00B42D45" w:rsidP="000B3A8F">
      <w:pPr>
        <w:pStyle w:val="Heading2"/>
        <w:spacing w:line="340" w:lineRule="exact"/>
        <w:rPr>
          <w:rFonts w:ascii="Times New Roman" w:hAnsi="Times New Roman" w:cs="Times New Roman"/>
          <w:b/>
          <w:sz w:val="22"/>
          <w:szCs w:val="22"/>
        </w:rPr>
      </w:pPr>
      <w:bookmarkStart w:id="49" w:name="_Toc42611431"/>
      <w:bookmarkEnd w:id="44"/>
      <w:bookmarkEnd w:id="45"/>
      <w:bookmarkEnd w:id="46"/>
      <w:bookmarkEnd w:id="47"/>
      <w:bookmarkEnd w:id="48"/>
      <w:r w:rsidRPr="000B3A8F">
        <w:rPr>
          <w:rFonts w:ascii="Times New Roman" w:hAnsi="Times New Roman" w:cs="Times New Roman"/>
          <w:b/>
          <w:color w:val="auto"/>
          <w:sz w:val="22"/>
          <w:szCs w:val="22"/>
        </w:rPr>
        <w:t>2.5</w:t>
      </w:r>
      <w:r w:rsidR="003B3692" w:rsidRPr="000B3A8F">
        <w:rPr>
          <w:rFonts w:ascii="Times New Roman" w:hAnsi="Times New Roman" w:cs="Times New Roman"/>
          <w:b/>
          <w:color w:val="auto"/>
          <w:sz w:val="22"/>
          <w:szCs w:val="22"/>
        </w:rPr>
        <w:t xml:space="preserve"> </w:t>
      </w:r>
      <w:bookmarkEnd w:id="49"/>
      <w:r w:rsidR="00465E43" w:rsidRPr="000B3A8F">
        <w:rPr>
          <w:rFonts w:ascii="Times New Roman" w:hAnsi="Times New Roman" w:cs="Times New Roman"/>
          <w:b/>
          <w:color w:val="auto"/>
          <w:sz w:val="22"/>
          <w:szCs w:val="22"/>
        </w:rPr>
        <w:t>Some typical ERPT studies in Vietnam</w:t>
      </w:r>
    </w:p>
    <w:p w:rsidR="00465E43" w:rsidRPr="000B3A8F" w:rsidRDefault="00465E43" w:rsidP="000B3A8F">
      <w:pPr>
        <w:spacing w:line="340" w:lineRule="exact"/>
        <w:jc w:val="both"/>
        <w:rPr>
          <w:sz w:val="22"/>
          <w:szCs w:val="22"/>
        </w:rPr>
      </w:pPr>
      <w:r w:rsidRPr="000B3A8F">
        <w:rPr>
          <w:sz w:val="22"/>
          <w:szCs w:val="22"/>
        </w:rPr>
        <w:t>Nguyen Thi Ngoc Trang and Luc Van Cuong (2012) showed that the transmission of exchange rate into the import price is complete but found no evidence of asymmetric transmission of the scale of exchange rate fluctuations into import price.</w:t>
      </w:r>
    </w:p>
    <w:p w:rsidR="00465E43" w:rsidRPr="000B3A8F" w:rsidRDefault="00465E43" w:rsidP="000B3A8F">
      <w:pPr>
        <w:spacing w:line="340" w:lineRule="exact"/>
        <w:jc w:val="both"/>
        <w:rPr>
          <w:sz w:val="22"/>
          <w:szCs w:val="22"/>
        </w:rPr>
      </w:pPr>
      <w:r w:rsidRPr="000B3A8F">
        <w:rPr>
          <w:sz w:val="22"/>
          <w:szCs w:val="22"/>
        </w:rPr>
        <w:t xml:space="preserve">Tran Van Hung (2015) used the VAR model to provide evidence confirming the Taylor (2000) hypothesis that exchange rate pass-through </w:t>
      </w:r>
      <w:proofErr w:type="gramStart"/>
      <w:r w:rsidRPr="000B3A8F">
        <w:rPr>
          <w:sz w:val="22"/>
          <w:szCs w:val="22"/>
        </w:rPr>
        <w:t>depends</w:t>
      </w:r>
      <w:proofErr w:type="gramEnd"/>
      <w:r w:rsidRPr="000B3A8F">
        <w:rPr>
          <w:sz w:val="22"/>
          <w:szCs w:val="22"/>
        </w:rPr>
        <w:t xml:space="preserve"> on the inflationary environment.</w:t>
      </w:r>
    </w:p>
    <w:p w:rsidR="00465E43" w:rsidRPr="000B3A8F" w:rsidRDefault="00465E43" w:rsidP="000B3A8F">
      <w:pPr>
        <w:spacing w:line="340" w:lineRule="exact"/>
        <w:jc w:val="both"/>
        <w:rPr>
          <w:sz w:val="22"/>
          <w:szCs w:val="22"/>
        </w:rPr>
      </w:pPr>
      <w:r w:rsidRPr="000B3A8F">
        <w:rPr>
          <w:sz w:val="22"/>
          <w:szCs w:val="22"/>
        </w:rPr>
        <w:t>Tran Ngoc Tho and Nguyen Thi Ngoc Trang (2015) using the TVAR model show that exchange rate pass-through depends on the inflationary environment, the level of transmission increases when the economy is in hi</w:t>
      </w:r>
      <w:r w:rsidR="00CE1328" w:rsidRPr="000B3A8F">
        <w:rPr>
          <w:sz w:val="22"/>
          <w:szCs w:val="22"/>
        </w:rPr>
        <w:t>gh inflation state about 0.333%/</w:t>
      </w:r>
      <w:r w:rsidRPr="000B3A8F">
        <w:rPr>
          <w:sz w:val="22"/>
          <w:szCs w:val="22"/>
        </w:rPr>
        <w:t>month.</w:t>
      </w:r>
    </w:p>
    <w:p w:rsidR="009222C2" w:rsidRPr="000B3A8F" w:rsidRDefault="00465E43" w:rsidP="000B3A8F">
      <w:pPr>
        <w:spacing w:line="340" w:lineRule="exact"/>
        <w:jc w:val="both"/>
        <w:rPr>
          <w:sz w:val="22"/>
          <w:szCs w:val="22"/>
        </w:rPr>
      </w:pPr>
      <w:r w:rsidRPr="000B3A8F">
        <w:rPr>
          <w:sz w:val="22"/>
          <w:szCs w:val="22"/>
        </w:rPr>
        <w:t>Pham Thi Thanh Xuan et al. (2017) used the space state model to show that the mechanism of the exchange rate to inflation is dynamic, changes over time, and depends on the macroeconomic environment in the country and the world.</w:t>
      </w:r>
    </w:p>
    <w:p w:rsidR="00B653D2" w:rsidRPr="000B3A8F" w:rsidRDefault="00B653D2" w:rsidP="000B3A8F">
      <w:pPr>
        <w:spacing w:after="160" w:line="340" w:lineRule="exact"/>
        <w:rPr>
          <w:rFonts w:eastAsia="Calibri"/>
          <w:b/>
          <w:sz w:val="22"/>
          <w:szCs w:val="22"/>
        </w:rPr>
      </w:pPr>
      <w:r w:rsidRPr="000B3A8F">
        <w:rPr>
          <w:rFonts w:eastAsia="Calibri"/>
          <w:b/>
          <w:sz w:val="22"/>
          <w:szCs w:val="22"/>
        </w:rPr>
        <w:br w:type="page"/>
      </w:r>
    </w:p>
    <w:p w:rsidR="006D3441" w:rsidRPr="000B3A8F" w:rsidRDefault="00B42D45" w:rsidP="000B3A8F">
      <w:pPr>
        <w:pStyle w:val="Heading1"/>
        <w:spacing w:before="0" w:line="340" w:lineRule="exact"/>
        <w:jc w:val="center"/>
        <w:rPr>
          <w:rFonts w:ascii="Times New Roman" w:eastAsia="Calibri" w:hAnsi="Times New Roman" w:cs="Times New Roman"/>
          <w:b/>
          <w:sz w:val="22"/>
          <w:szCs w:val="22"/>
        </w:rPr>
      </w:pPr>
      <w:r w:rsidRPr="000B3A8F">
        <w:rPr>
          <w:rFonts w:ascii="Times New Roman" w:eastAsia="Calibri" w:hAnsi="Times New Roman" w:cs="Times New Roman"/>
          <w:b/>
          <w:color w:val="auto"/>
          <w:sz w:val="22"/>
          <w:szCs w:val="22"/>
        </w:rPr>
        <w:lastRenderedPageBreak/>
        <w:t>Chapter</w:t>
      </w:r>
      <w:r w:rsidR="006D3441" w:rsidRPr="000B3A8F">
        <w:rPr>
          <w:rFonts w:ascii="Times New Roman" w:eastAsia="Calibri" w:hAnsi="Times New Roman" w:cs="Times New Roman"/>
          <w:b/>
          <w:color w:val="auto"/>
          <w:sz w:val="22"/>
          <w:szCs w:val="22"/>
        </w:rPr>
        <w:t xml:space="preserve"> 3</w:t>
      </w:r>
      <w:r w:rsidR="00410B5D" w:rsidRPr="000B3A8F">
        <w:rPr>
          <w:rFonts w:ascii="Times New Roman" w:eastAsia="Calibri" w:hAnsi="Times New Roman" w:cs="Times New Roman"/>
          <w:b/>
          <w:color w:val="auto"/>
          <w:sz w:val="22"/>
          <w:szCs w:val="22"/>
        </w:rPr>
        <w:t xml:space="preserve">: </w:t>
      </w:r>
      <w:r w:rsidR="005A528E" w:rsidRPr="000B3A8F">
        <w:rPr>
          <w:rFonts w:ascii="Times New Roman" w:eastAsia="Calibri" w:hAnsi="Times New Roman" w:cs="Times New Roman"/>
          <w:b/>
          <w:color w:val="auto"/>
          <w:sz w:val="22"/>
          <w:szCs w:val="22"/>
        </w:rPr>
        <w:t>METHODOLOGY AND DATA</w:t>
      </w:r>
    </w:p>
    <w:p w:rsidR="006D3441" w:rsidRPr="000B3A8F" w:rsidRDefault="006D3441" w:rsidP="000B3A8F">
      <w:pPr>
        <w:pStyle w:val="Heading2"/>
        <w:spacing w:line="340" w:lineRule="exact"/>
        <w:rPr>
          <w:rFonts w:ascii="Times New Roman" w:eastAsia="Calibri" w:hAnsi="Times New Roman" w:cs="Times New Roman"/>
          <w:b/>
          <w:color w:val="auto"/>
          <w:sz w:val="22"/>
          <w:szCs w:val="22"/>
        </w:rPr>
      </w:pPr>
      <w:r w:rsidRPr="000B3A8F">
        <w:rPr>
          <w:rFonts w:ascii="Times New Roman" w:eastAsia="Calibri" w:hAnsi="Times New Roman" w:cs="Times New Roman"/>
          <w:b/>
          <w:color w:val="auto"/>
          <w:sz w:val="22"/>
          <w:szCs w:val="22"/>
        </w:rPr>
        <w:t xml:space="preserve">3.1. </w:t>
      </w:r>
      <w:r w:rsidR="005A528E" w:rsidRPr="000B3A8F">
        <w:rPr>
          <w:rFonts w:ascii="Times New Roman" w:eastAsia="Calibri" w:hAnsi="Times New Roman" w:cs="Times New Roman"/>
          <w:b/>
          <w:color w:val="auto"/>
          <w:sz w:val="22"/>
          <w:szCs w:val="22"/>
        </w:rPr>
        <w:t>Methodology</w:t>
      </w:r>
    </w:p>
    <w:p w:rsidR="00D445FE" w:rsidRPr="000B3A8F" w:rsidRDefault="00D445FE" w:rsidP="000B3A8F">
      <w:pPr>
        <w:spacing w:line="340" w:lineRule="exact"/>
        <w:jc w:val="both"/>
        <w:rPr>
          <w:sz w:val="22"/>
          <w:szCs w:val="22"/>
        </w:rPr>
      </w:pPr>
      <w:bookmarkStart w:id="50" w:name="_Toc42611442"/>
      <w:r w:rsidRPr="000B3A8F">
        <w:rPr>
          <w:sz w:val="22"/>
          <w:szCs w:val="22"/>
        </w:rPr>
        <w:t>Quantitative analysis is applied in this thesis to investigate the nonlinear relationship between the level of exchange rate pass-through and macro-environmental factors in Vietnam.</w:t>
      </w:r>
    </w:p>
    <w:p w:rsidR="00D445FE" w:rsidRPr="000B3A8F" w:rsidRDefault="002B061B" w:rsidP="000B3A8F">
      <w:pPr>
        <w:spacing w:line="340" w:lineRule="exact"/>
        <w:jc w:val="both"/>
        <w:rPr>
          <w:sz w:val="22"/>
          <w:szCs w:val="22"/>
        </w:rPr>
      </w:pPr>
      <w:r w:rsidRPr="000B3A8F">
        <w:rPr>
          <w:sz w:val="22"/>
          <w:szCs w:val="22"/>
        </w:rPr>
        <w:t>The smooth transition r</w:t>
      </w:r>
      <w:r w:rsidR="00D445FE" w:rsidRPr="000B3A8F">
        <w:rPr>
          <w:sz w:val="22"/>
          <w:szCs w:val="22"/>
        </w:rPr>
        <w:t xml:space="preserve">egression (STR) model </w:t>
      </w:r>
      <w:proofErr w:type="gramStart"/>
      <w:r w:rsidR="00D445FE" w:rsidRPr="000B3A8F">
        <w:rPr>
          <w:sz w:val="22"/>
          <w:szCs w:val="22"/>
        </w:rPr>
        <w:t>is used</w:t>
      </w:r>
      <w:proofErr w:type="gramEnd"/>
      <w:r w:rsidR="00D445FE" w:rsidRPr="000B3A8F">
        <w:rPr>
          <w:sz w:val="22"/>
          <w:szCs w:val="22"/>
        </w:rPr>
        <w:t xml:space="preserve"> to study the relationship between exchange rate transmission and different macrostates of the economy. This approach is similar to the method used in the study of exchange rate pass-through by Herzberg et al. (2003), Nogueira and León-Ledesma (2008), Cheikh (2012) </w:t>
      </w:r>
      <w:r w:rsidRPr="000B3A8F">
        <w:rPr>
          <w:sz w:val="22"/>
          <w:szCs w:val="22"/>
        </w:rPr>
        <w:t xml:space="preserve">and </w:t>
      </w:r>
      <w:r w:rsidR="00D445FE" w:rsidRPr="000B3A8F">
        <w:rPr>
          <w:sz w:val="22"/>
          <w:szCs w:val="22"/>
        </w:rPr>
        <w:t>Shintani et al</w:t>
      </w:r>
      <w:r w:rsidRPr="000B3A8F">
        <w:rPr>
          <w:sz w:val="22"/>
          <w:szCs w:val="22"/>
        </w:rPr>
        <w:t>.</w:t>
      </w:r>
      <w:r w:rsidR="00D445FE" w:rsidRPr="000B3A8F">
        <w:rPr>
          <w:sz w:val="22"/>
          <w:szCs w:val="22"/>
        </w:rPr>
        <w:t xml:space="preserve"> (2013).</w:t>
      </w:r>
    </w:p>
    <w:p w:rsidR="00D445FE" w:rsidRPr="000B3A8F" w:rsidRDefault="00D445FE" w:rsidP="000B3A8F">
      <w:pPr>
        <w:spacing w:line="340" w:lineRule="exact"/>
        <w:jc w:val="both"/>
        <w:rPr>
          <w:sz w:val="22"/>
          <w:szCs w:val="22"/>
        </w:rPr>
      </w:pPr>
      <w:r w:rsidRPr="000B3A8F">
        <w:rPr>
          <w:sz w:val="22"/>
          <w:szCs w:val="22"/>
        </w:rPr>
        <w:t xml:space="preserve">To estimate the relationship between exchange rate transmission and inflation in Vietnam under different macro conditions, the thesis uses a number of potential transitional variables such as inflation, </w:t>
      </w:r>
      <w:r w:rsidR="002B061B" w:rsidRPr="000B3A8F">
        <w:rPr>
          <w:sz w:val="22"/>
          <w:szCs w:val="22"/>
        </w:rPr>
        <w:t>level changes</w:t>
      </w:r>
      <w:r w:rsidRPr="000B3A8F">
        <w:rPr>
          <w:sz w:val="22"/>
          <w:szCs w:val="22"/>
        </w:rPr>
        <w:t xml:space="preserve">, and deviation standard of nominal exchange rate (USD/VND), industrial output </w:t>
      </w:r>
      <w:r w:rsidR="002B061B" w:rsidRPr="000B3A8F">
        <w:rPr>
          <w:sz w:val="22"/>
          <w:szCs w:val="22"/>
        </w:rPr>
        <w:t xml:space="preserve">gap </w:t>
      </w:r>
      <w:r w:rsidRPr="000B3A8F">
        <w:rPr>
          <w:sz w:val="22"/>
          <w:szCs w:val="22"/>
        </w:rPr>
        <w:t>and trade openness.</w:t>
      </w:r>
    </w:p>
    <w:p w:rsidR="00034AE6" w:rsidRPr="000B3A8F" w:rsidRDefault="00034AE6" w:rsidP="000B3A8F">
      <w:pPr>
        <w:pStyle w:val="Heading2"/>
        <w:spacing w:line="340" w:lineRule="exact"/>
        <w:rPr>
          <w:rFonts w:ascii="Times New Roman" w:hAnsi="Times New Roman" w:cs="Times New Roman"/>
          <w:b/>
          <w:color w:val="auto"/>
          <w:sz w:val="22"/>
          <w:szCs w:val="22"/>
          <w:shd w:val="clear" w:color="auto" w:fill="FFFFFF"/>
        </w:rPr>
      </w:pPr>
      <w:r w:rsidRPr="000B3A8F">
        <w:rPr>
          <w:rFonts w:ascii="Times New Roman" w:hAnsi="Times New Roman" w:cs="Times New Roman"/>
          <w:b/>
          <w:color w:val="auto"/>
          <w:sz w:val="22"/>
          <w:szCs w:val="22"/>
        </w:rPr>
        <w:t>3.</w:t>
      </w:r>
      <w:bookmarkEnd w:id="50"/>
      <w:r w:rsidR="00B71F25" w:rsidRPr="000B3A8F">
        <w:rPr>
          <w:rFonts w:ascii="Times New Roman" w:hAnsi="Times New Roman" w:cs="Times New Roman"/>
          <w:b/>
          <w:color w:val="auto"/>
          <w:sz w:val="22"/>
          <w:szCs w:val="22"/>
        </w:rPr>
        <w:t xml:space="preserve">2 </w:t>
      </w:r>
      <w:r w:rsidR="00412F11" w:rsidRPr="000B3A8F">
        <w:rPr>
          <w:rFonts w:ascii="Times New Roman" w:hAnsi="Times New Roman" w:cs="Times New Roman"/>
          <w:b/>
          <w:color w:val="auto"/>
          <w:sz w:val="22"/>
          <w:szCs w:val="22"/>
        </w:rPr>
        <w:t>Empirical model</w:t>
      </w:r>
    </w:p>
    <w:p w:rsidR="00034AE6" w:rsidRPr="000B3A8F" w:rsidRDefault="00FB678B" w:rsidP="000B3A8F">
      <w:pPr>
        <w:spacing w:line="340" w:lineRule="exact"/>
        <w:jc w:val="both"/>
        <w:rPr>
          <w:color w:val="000000" w:themeColor="text1"/>
          <w:sz w:val="22"/>
          <w:szCs w:val="22"/>
        </w:rPr>
      </w:pPr>
      <w:bookmarkStart w:id="51" w:name="OLE_LINK11"/>
      <w:bookmarkStart w:id="52" w:name="OLE_LINK14"/>
      <w:r w:rsidRPr="000B3A8F">
        <w:rPr>
          <w:color w:val="000000" w:themeColor="text1"/>
          <w:sz w:val="22"/>
          <w:szCs w:val="22"/>
        </w:rPr>
        <w:t xml:space="preserve">Empirical model use monthly frequency data. </w:t>
      </w:r>
    </w:p>
    <w:bookmarkStart w:id="53" w:name="OLE_LINK798"/>
    <w:bookmarkStart w:id="54" w:name="OLE_LINK799"/>
    <w:bookmarkStart w:id="55" w:name="OLE_LINK202"/>
    <w:bookmarkStart w:id="56" w:name="OLE_LINK600"/>
    <w:bookmarkEnd w:id="51"/>
    <w:bookmarkEnd w:id="52"/>
    <w:p w:rsidR="00034AE6" w:rsidRPr="000B3A8F" w:rsidRDefault="003B276F" w:rsidP="000B3A8F">
      <w:pPr>
        <w:spacing w:line="340" w:lineRule="exact"/>
        <w:jc w:val="right"/>
        <w:rPr>
          <w:color w:val="000000" w:themeColor="text1"/>
          <w:sz w:val="22"/>
          <w:szCs w:val="22"/>
        </w:rPr>
      </w:pPr>
      <m:oMath>
        <m:sSub>
          <m:sSubPr>
            <m:ctrlPr>
              <w:rPr>
                <w:rFonts w:ascii="Cambria Math" w:hAnsi="Cambria Math"/>
                <w:i/>
                <w:color w:val="000000" w:themeColor="text1"/>
                <w:sz w:val="22"/>
                <w:szCs w:val="22"/>
              </w:rPr>
            </m:ctrlPr>
          </m:sSubPr>
          <m:e>
            <m:r>
              <m:rPr>
                <m:sty m:val="p"/>
              </m:rPr>
              <w:rPr>
                <w:rFonts w:ascii="Cambria Math" w:hAnsi="Cambria Math"/>
                <w:color w:val="000000" w:themeColor="text1"/>
                <w:sz w:val="22"/>
                <w:szCs w:val="22"/>
              </w:rPr>
              <m:t>inf</m:t>
            </m:r>
          </m:e>
          <m:sub>
            <m:r>
              <w:rPr>
                <w:rFonts w:ascii="Cambria Math" w:hAnsi="Cambria Math"/>
                <w:color w:val="000000" w:themeColor="text1"/>
                <w:sz w:val="22"/>
                <w:szCs w:val="22"/>
              </w:rPr>
              <m:t>t</m:t>
            </m:r>
          </m:sub>
        </m:sSub>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α</m:t>
            </m:r>
          </m:e>
          <m:sub>
            <m:r>
              <w:rPr>
                <w:rFonts w:ascii="Cambria Math" w:hAnsi="Cambria Math"/>
                <w:color w:val="000000" w:themeColor="text1"/>
                <w:sz w:val="22"/>
                <w:szCs w:val="22"/>
              </w:rPr>
              <m:t>0</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j=1</m:t>
            </m:r>
          </m:sub>
          <m:sup>
            <m:r>
              <w:rPr>
                <w:rFonts w:ascii="Cambria Math" w:hAnsi="Cambria Math"/>
                <w:color w:val="000000" w:themeColor="text1"/>
                <w:sz w:val="22"/>
                <w:szCs w:val="22"/>
              </w:rPr>
              <m:t>M</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λ</m:t>
                </m:r>
              </m:e>
              <m:sub>
                <m:r>
                  <w:rPr>
                    <w:rFonts w:ascii="Cambria Math" w:hAnsi="Cambria Math"/>
                    <w:color w:val="000000" w:themeColor="text1"/>
                    <w:sz w:val="22"/>
                    <w:szCs w:val="22"/>
                  </w:rPr>
                  <m:t>j</m:t>
                </m:r>
              </m:sub>
            </m:sSub>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inf</m:t>
                </m:r>
              </m:e>
              <m:sub>
                <m:r>
                  <w:rPr>
                    <w:rFonts w:ascii="Cambria Math" w:hAnsi="Cambria Math"/>
                    <w:color w:val="000000" w:themeColor="text1"/>
                    <w:sz w:val="22"/>
                    <w:szCs w:val="22"/>
                  </w:rPr>
                  <m:t>t-j</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N</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Ψ</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iip</m:t>
                    </m:r>
                  </m:e>
                  <m:sub>
                    <m:r>
                      <w:rPr>
                        <w:rFonts w:ascii="Cambria Math" w:hAnsi="Cambria Math"/>
                        <w:color w:val="000000" w:themeColor="text1"/>
                        <w:sz w:val="22"/>
                        <w:szCs w:val="22"/>
                      </w:rPr>
                      <m:t>t-j</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K</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δ</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gpi</m:t>
                        </m:r>
                      </m:e>
                      <m:sub>
                        <m:r>
                          <w:rPr>
                            <w:rFonts w:ascii="Cambria Math" w:hAnsi="Cambria Math"/>
                            <w:color w:val="000000" w:themeColor="text1"/>
                            <w:sz w:val="22"/>
                            <w:szCs w:val="22"/>
                          </w:rPr>
                          <m:t>t-j</m:t>
                        </m:r>
                      </m:sub>
                    </m:sSub>
                  </m:e>
                </m:nary>
              </m:e>
            </m:nary>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L</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β</m:t>
                    </m:r>
                  </m:e>
                  <m:sub>
                    <m:r>
                      <w:rPr>
                        <w:rFonts w:ascii="Cambria Math" w:hAnsi="Cambria Math"/>
                        <w:color w:val="000000" w:themeColor="text1"/>
                        <w:sz w:val="22"/>
                        <w:szCs w:val="22"/>
                      </w:rPr>
                      <m:t>j</m:t>
                    </m:r>
                  </m:sub>
                </m:sSub>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er</m:t>
                    </m:r>
                  </m:e>
                  <m:sub>
                    <m:r>
                      <w:rPr>
                        <w:rFonts w:ascii="Cambria Math" w:hAnsi="Cambria Math"/>
                        <w:color w:val="000000" w:themeColor="text1"/>
                        <w:sz w:val="22"/>
                        <w:szCs w:val="22"/>
                      </w:rPr>
                      <m:t>t-j</m:t>
                    </m:r>
                  </m:sub>
                </m:sSub>
                <m:r>
                  <w:rPr>
                    <w:rFonts w:ascii="Cambria Math" w:hAnsi="Cambria Math"/>
                    <w:color w:val="000000" w:themeColor="text1"/>
                    <w:sz w:val="22"/>
                    <w:szCs w:val="22"/>
                  </w:rPr>
                  <m:t xml:space="preserve">+ </m:t>
                </m:r>
                <m:d>
                  <m:dPr>
                    <m:ctrlPr>
                      <w:rPr>
                        <w:rFonts w:ascii="Cambria Math" w:hAnsi="Cambria Math"/>
                        <w:i/>
                        <w:color w:val="000000" w:themeColor="text1"/>
                        <w:sz w:val="22"/>
                        <w:szCs w:val="22"/>
                      </w:rPr>
                    </m:ctrlPr>
                  </m:dPr>
                  <m:e>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P</m:t>
                        </m:r>
                      </m:sup>
                      <m:e>
                        <m:sSub>
                          <m:sSubPr>
                            <m:ctrlPr>
                              <w:rPr>
                                <w:rFonts w:ascii="Cambria Math" w:hAnsi="Cambria Math"/>
                                <w:i/>
                                <w:color w:val="000000" w:themeColor="text1"/>
                                <w:sz w:val="22"/>
                                <w:szCs w:val="22"/>
                              </w:rPr>
                            </m:ctrlPr>
                          </m:sSubPr>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Φ</m:t>
                                </m:r>
                              </m:e>
                              <m:sub>
                                <m:r>
                                  <w:rPr>
                                    <w:rFonts w:ascii="Cambria Math" w:hAnsi="Cambria Math"/>
                                    <w:color w:val="000000" w:themeColor="text1"/>
                                    <w:sz w:val="22"/>
                                    <w:szCs w:val="22"/>
                                  </w:rPr>
                                  <m:t>j</m:t>
                                </m:r>
                              </m:sub>
                            </m:sSub>
                            <m:r>
                              <w:rPr>
                                <w:rFonts w:ascii="Cambria Math" w:hAnsi="Cambria Math"/>
                                <w:color w:val="000000" w:themeColor="text1"/>
                                <w:sz w:val="22"/>
                                <w:szCs w:val="22"/>
                              </w:rPr>
                              <m:t>er</m:t>
                            </m:r>
                          </m:e>
                          <m:sub>
                            <m:r>
                              <w:rPr>
                                <w:rFonts w:ascii="Cambria Math" w:hAnsi="Cambria Math"/>
                                <w:color w:val="000000" w:themeColor="text1"/>
                                <w:sz w:val="22"/>
                                <w:szCs w:val="22"/>
                              </w:rPr>
                              <m:t>t-j</m:t>
                            </m:r>
                          </m:sub>
                        </m:sSub>
                      </m:e>
                    </m:nary>
                  </m:e>
                </m:d>
              </m:e>
            </m:nary>
          </m:e>
        </m:nary>
        <w:bookmarkEnd w:id="53"/>
        <w:bookmarkEnd w:id="54"/>
        <m:r>
          <w:rPr>
            <w:rFonts w:ascii="Cambria Math" w:hAnsi="Cambria Math"/>
            <w:color w:val="000000" w:themeColor="text1"/>
            <w:sz w:val="22"/>
            <w:szCs w:val="22"/>
          </w:rPr>
          <m:t>.G</m:t>
        </m:r>
        <m:d>
          <m:dPr>
            <m:ctrlPr>
              <w:rPr>
                <w:rFonts w:ascii="Cambria Math" w:hAnsi="Cambria Math"/>
                <w:i/>
                <w:color w:val="000000" w:themeColor="text1"/>
                <w:sz w:val="22"/>
                <w:szCs w:val="22"/>
              </w:rPr>
            </m:ctrlPr>
          </m:dPr>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s</m:t>
                </m:r>
              </m:e>
              <m:sub>
                <m:r>
                  <w:rPr>
                    <w:rFonts w:ascii="Cambria Math" w:hAnsi="Cambria Math"/>
                    <w:color w:val="000000" w:themeColor="text1"/>
                    <w:sz w:val="22"/>
                    <w:szCs w:val="22"/>
                  </w:rPr>
                  <m:t>t-i</m:t>
                </m:r>
              </m:sub>
            </m:sSub>
            <m:r>
              <w:rPr>
                <w:rFonts w:ascii="Cambria Math" w:hAnsi="Cambria Math"/>
                <w:color w:val="000000" w:themeColor="text1"/>
                <w:sz w:val="22"/>
                <w:szCs w:val="22"/>
              </w:rPr>
              <m:t>;γ,c</m:t>
            </m:r>
          </m:e>
        </m:d>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ε</m:t>
            </m:r>
          </m:e>
          <m:sub>
            <m:r>
              <w:rPr>
                <w:rFonts w:ascii="Cambria Math" w:hAnsi="Cambria Math"/>
                <w:color w:val="000000" w:themeColor="text1"/>
                <w:sz w:val="22"/>
                <w:szCs w:val="22"/>
              </w:rPr>
              <m:t>t</m:t>
            </m:r>
          </m:sub>
        </m:sSub>
      </m:oMath>
      <w:r w:rsidR="00034AE6" w:rsidRPr="000B3A8F">
        <w:rPr>
          <w:color w:val="000000" w:themeColor="text1"/>
          <w:sz w:val="22"/>
          <w:szCs w:val="22"/>
        </w:rPr>
        <w:t xml:space="preserve"> </w:t>
      </w:r>
      <w:r w:rsidR="00034AE6" w:rsidRPr="000B3A8F">
        <w:rPr>
          <w:color w:val="000000" w:themeColor="text1"/>
          <w:sz w:val="22"/>
          <w:szCs w:val="22"/>
        </w:rPr>
        <w:tab/>
      </w:r>
      <w:r w:rsidR="006E087F" w:rsidRPr="000B3A8F">
        <w:rPr>
          <w:b/>
          <w:color w:val="000000" w:themeColor="text1"/>
          <w:sz w:val="22"/>
          <w:szCs w:val="22"/>
        </w:rPr>
        <w:t>(3.26)</w:t>
      </w:r>
      <w:r w:rsidR="00034AE6" w:rsidRPr="000B3A8F">
        <w:rPr>
          <w:color w:val="000000" w:themeColor="text1"/>
          <w:sz w:val="22"/>
          <w:szCs w:val="22"/>
        </w:rPr>
        <w:t xml:space="preserve">                   </w:t>
      </w:r>
    </w:p>
    <w:p w:rsidR="00034AE6" w:rsidRPr="000B3A8F" w:rsidRDefault="00FB678B" w:rsidP="000B3A8F">
      <w:pPr>
        <w:spacing w:line="340" w:lineRule="exact"/>
        <w:jc w:val="both"/>
        <w:rPr>
          <w:color w:val="000000" w:themeColor="text1"/>
          <w:sz w:val="22"/>
          <w:szCs w:val="22"/>
        </w:rPr>
      </w:pPr>
      <w:r w:rsidRPr="000B3A8F">
        <w:rPr>
          <w:color w:val="000000" w:themeColor="text1"/>
          <w:sz w:val="22"/>
          <w:szCs w:val="22"/>
        </w:rPr>
        <w:t>Empirical model use quarterly frequency data</w:t>
      </w:r>
      <w:r w:rsidR="00034AE6" w:rsidRPr="000B3A8F">
        <w:rPr>
          <w:color w:val="000000" w:themeColor="text1"/>
          <w:sz w:val="22"/>
          <w:szCs w:val="22"/>
        </w:rPr>
        <w:t>:</w:t>
      </w:r>
    </w:p>
    <w:p w:rsidR="00034AE6" w:rsidRPr="000B3A8F" w:rsidRDefault="003B276F" w:rsidP="000B3A8F">
      <w:pPr>
        <w:spacing w:line="340" w:lineRule="exact"/>
        <w:jc w:val="center"/>
        <w:rPr>
          <w:color w:val="000000" w:themeColor="text1"/>
          <w:sz w:val="22"/>
          <w:szCs w:val="22"/>
        </w:rPr>
      </w:pPr>
      <m:oMath>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inf</m:t>
            </m:r>
          </m:e>
          <m:sub>
            <m:r>
              <w:rPr>
                <w:rFonts w:ascii="Cambria Math" w:hAnsi="Cambria Math"/>
                <w:color w:val="000000" w:themeColor="text1"/>
                <w:sz w:val="22"/>
                <w:szCs w:val="22"/>
              </w:rPr>
              <m:t>t</m:t>
            </m:r>
          </m:sub>
        </m:sSub>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α</m:t>
            </m:r>
          </m:e>
          <m:sub>
            <m:r>
              <w:rPr>
                <w:rFonts w:ascii="Cambria Math" w:hAnsi="Cambria Math"/>
                <w:color w:val="000000" w:themeColor="text1"/>
                <w:sz w:val="22"/>
                <w:szCs w:val="22"/>
              </w:rPr>
              <m:t>0</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j=1</m:t>
            </m:r>
          </m:sub>
          <m:sup>
            <m:r>
              <w:rPr>
                <w:rFonts w:ascii="Cambria Math" w:hAnsi="Cambria Math"/>
                <w:color w:val="000000" w:themeColor="text1"/>
                <w:sz w:val="22"/>
                <w:szCs w:val="22"/>
              </w:rPr>
              <m:t>M</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λ</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inf</m:t>
                </m:r>
              </m:e>
              <m:sub>
                <m:r>
                  <w:rPr>
                    <w:rFonts w:ascii="Cambria Math" w:hAnsi="Cambria Math"/>
                    <w:color w:val="000000" w:themeColor="text1"/>
                    <w:sz w:val="22"/>
                    <w:szCs w:val="22"/>
                  </w:rPr>
                  <m:t>t-j</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N</m:t>
                </m:r>
              </m:sup>
              <m:e>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rPr>
                      <m:t>Ψ</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opg</m:t>
                    </m:r>
                  </m:e>
                  <m:sub>
                    <m:r>
                      <w:rPr>
                        <w:rFonts w:ascii="Cambria Math" w:hAnsi="Cambria Math"/>
                        <w:color w:val="000000" w:themeColor="text1"/>
                        <w:sz w:val="22"/>
                        <w:szCs w:val="22"/>
                      </w:rPr>
                      <m:t>t-j</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j=o</m:t>
                    </m:r>
                  </m:sub>
                  <m:sup>
                    <m:r>
                      <w:rPr>
                        <w:rFonts w:ascii="Cambria Math" w:hAnsi="Cambria Math"/>
                        <w:color w:val="000000" w:themeColor="text1"/>
                        <w:sz w:val="22"/>
                        <w:szCs w:val="22"/>
                      </w:rPr>
                      <m:t>K</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δ</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imp</m:t>
                        </m:r>
                      </m:e>
                      <m:sub>
                        <m:r>
                          <w:rPr>
                            <w:rFonts w:ascii="Cambria Math" w:hAnsi="Cambria Math"/>
                            <w:color w:val="000000" w:themeColor="text1"/>
                            <w:sz w:val="22"/>
                            <w:szCs w:val="22"/>
                          </w:rPr>
                          <m:t>t-j</m:t>
                        </m:r>
                      </m:sub>
                    </m:sSub>
                    <m:r>
                      <w:rPr>
                        <w:rFonts w:ascii="Cambria Math" w:hAnsi="Cambria Math"/>
                        <w:color w:val="000000" w:themeColor="text1"/>
                        <w:sz w:val="22"/>
                        <w:szCs w:val="22"/>
                      </w:rPr>
                      <m:t xml:space="preserve"> </m:t>
                    </m:r>
                  </m:e>
                </m:nary>
              </m:e>
            </m:nary>
          </m:e>
        </m:nary>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L</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β</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er</m:t>
                </m:r>
              </m:e>
              <m:sub>
                <m:r>
                  <w:rPr>
                    <w:rFonts w:ascii="Cambria Math" w:hAnsi="Cambria Math"/>
                    <w:color w:val="000000" w:themeColor="text1"/>
                    <w:sz w:val="22"/>
                    <w:szCs w:val="22"/>
                  </w:rPr>
                  <m:t>t-j</m:t>
                </m:r>
              </m:sub>
            </m:sSub>
            <m:r>
              <w:rPr>
                <w:rFonts w:ascii="Cambria Math" w:hAnsi="Cambria Math"/>
                <w:color w:val="000000" w:themeColor="text1"/>
                <w:sz w:val="22"/>
                <w:szCs w:val="22"/>
              </w:rPr>
              <m:t xml:space="preserve">+ </m:t>
            </m:r>
            <m:d>
              <m:dPr>
                <m:ctrlPr>
                  <w:rPr>
                    <w:rFonts w:ascii="Cambria Math" w:hAnsi="Cambria Math"/>
                    <w:i/>
                    <w:color w:val="000000" w:themeColor="text1"/>
                    <w:sz w:val="22"/>
                    <w:szCs w:val="22"/>
                  </w:rPr>
                </m:ctrlPr>
              </m:dPr>
              <m:e>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P</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ϕ</m:t>
                        </m:r>
                      </m:e>
                      <m:sub>
                        <m:r>
                          <w:rPr>
                            <w:rFonts w:ascii="Cambria Math" w:hAnsi="Cambria Math"/>
                            <w:color w:val="000000" w:themeColor="text1"/>
                            <w:sz w:val="22"/>
                            <w:szCs w:val="22"/>
                          </w:rPr>
                          <m:t>j</m:t>
                        </m:r>
                      </m:sub>
                    </m:sSub>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er</m:t>
                        </m:r>
                      </m:e>
                      <m:sub>
                        <m:r>
                          <w:rPr>
                            <w:rFonts w:ascii="Cambria Math" w:hAnsi="Cambria Math"/>
                            <w:color w:val="000000" w:themeColor="text1"/>
                            <w:sz w:val="22"/>
                            <w:szCs w:val="22"/>
                          </w:rPr>
                          <m:t>t-j</m:t>
                        </m:r>
                      </m:sub>
                    </m:sSub>
                  </m:e>
                </m:nary>
              </m:e>
            </m:d>
            <m:r>
              <w:rPr>
                <w:rFonts w:ascii="Cambria Math" w:hAnsi="Cambria Math"/>
                <w:color w:val="000000" w:themeColor="text1"/>
                <w:sz w:val="22"/>
                <w:szCs w:val="22"/>
              </w:rPr>
              <m:t>G</m:t>
            </m:r>
            <m:d>
              <m:dPr>
                <m:ctrlPr>
                  <w:rPr>
                    <w:rFonts w:ascii="Cambria Math" w:hAnsi="Cambria Math"/>
                    <w:i/>
                    <w:color w:val="000000" w:themeColor="text1"/>
                    <w:sz w:val="22"/>
                    <w:szCs w:val="22"/>
                  </w:rPr>
                </m:ctrlPr>
              </m:dPr>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s</m:t>
                    </m:r>
                  </m:e>
                  <m:sub>
                    <m:r>
                      <w:rPr>
                        <w:rFonts w:ascii="Cambria Math" w:hAnsi="Cambria Math"/>
                        <w:color w:val="000000" w:themeColor="text1"/>
                        <w:sz w:val="22"/>
                        <w:szCs w:val="22"/>
                      </w:rPr>
                      <m:t>t-i</m:t>
                    </m:r>
                  </m:sub>
                </m:sSub>
                <m:r>
                  <w:rPr>
                    <w:rFonts w:ascii="Cambria Math" w:hAnsi="Cambria Math"/>
                    <w:color w:val="000000" w:themeColor="text1"/>
                    <w:sz w:val="22"/>
                    <w:szCs w:val="22"/>
                  </w:rPr>
                  <m:t>;γ,c</m:t>
                </m:r>
              </m:e>
            </m:d>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ε</m:t>
                </m:r>
              </m:e>
              <m:sub>
                <m:r>
                  <w:rPr>
                    <w:rFonts w:ascii="Cambria Math" w:hAnsi="Cambria Math"/>
                    <w:color w:val="000000" w:themeColor="text1"/>
                    <w:sz w:val="22"/>
                    <w:szCs w:val="22"/>
                  </w:rPr>
                  <m:t>t</m:t>
                </m:r>
              </m:sub>
            </m:sSub>
          </m:e>
        </m:nary>
      </m:oMath>
      <w:r w:rsidR="00034AE6" w:rsidRPr="000B3A8F">
        <w:rPr>
          <w:color w:val="000000" w:themeColor="text1"/>
          <w:sz w:val="22"/>
          <w:szCs w:val="22"/>
        </w:rPr>
        <w:t xml:space="preserve">          </w:t>
      </w:r>
      <w:r w:rsidR="006E087F" w:rsidRPr="000B3A8F">
        <w:rPr>
          <w:b/>
          <w:color w:val="000000" w:themeColor="text1"/>
          <w:sz w:val="22"/>
          <w:szCs w:val="22"/>
        </w:rPr>
        <w:t>(3.27)</w:t>
      </w:r>
      <w:r w:rsidR="00034AE6" w:rsidRPr="000B3A8F">
        <w:rPr>
          <w:color w:val="000000" w:themeColor="text1"/>
          <w:sz w:val="22"/>
          <w:szCs w:val="22"/>
        </w:rPr>
        <w:t xml:space="preserve">                           </w:t>
      </w:r>
      <w:r w:rsidR="006E087F" w:rsidRPr="000B3A8F">
        <w:rPr>
          <w:color w:val="000000" w:themeColor="text1"/>
          <w:sz w:val="22"/>
          <w:szCs w:val="22"/>
        </w:rPr>
        <w:t xml:space="preserve">                               </w:t>
      </w:r>
    </w:p>
    <w:p w:rsidR="00034AE6" w:rsidRPr="000B3A8F" w:rsidRDefault="00FB678B" w:rsidP="000B3A8F">
      <w:pPr>
        <w:spacing w:line="340" w:lineRule="exact"/>
        <w:jc w:val="both"/>
        <w:rPr>
          <w:color w:val="000000" w:themeColor="text1"/>
          <w:sz w:val="22"/>
          <w:szCs w:val="22"/>
        </w:rPr>
      </w:pPr>
      <w:r w:rsidRPr="000B3A8F">
        <w:rPr>
          <w:color w:val="000000" w:themeColor="text1"/>
          <w:sz w:val="22"/>
          <w:szCs w:val="22"/>
        </w:rPr>
        <w:t>Where</w:t>
      </w:r>
      <w:r w:rsidR="00034AE6" w:rsidRPr="000B3A8F">
        <w:rPr>
          <w:color w:val="000000" w:themeColor="text1"/>
          <w:sz w:val="22"/>
          <w:szCs w:val="22"/>
        </w:rPr>
        <w:t xml:space="preserve">: </w:t>
      </w:r>
    </w:p>
    <w:p w:rsidR="00034AE6" w:rsidRPr="000B3A8F" w:rsidRDefault="00034AE6" w:rsidP="000B3A8F">
      <w:pPr>
        <w:pStyle w:val="ListParagraph"/>
        <w:numPr>
          <w:ilvl w:val="0"/>
          <w:numId w:val="17"/>
        </w:numPr>
        <w:spacing w:line="340" w:lineRule="exact"/>
        <w:ind w:left="270" w:hanging="270"/>
        <w:jc w:val="both"/>
        <w:rPr>
          <w:color w:val="000000" w:themeColor="text1"/>
          <w:sz w:val="22"/>
          <w:szCs w:val="22"/>
        </w:rPr>
      </w:pPr>
      <w:bookmarkStart w:id="57" w:name="OLE_LINK68"/>
      <w:bookmarkStart w:id="58" w:name="OLE_LINK52"/>
      <w:bookmarkStart w:id="59" w:name="OLE_LINK53"/>
      <w:r w:rsidRPr="000B3A8F">
        <w:rPr>
          <w:b/>
          <w:color w:val="000000" w:themeColor="text1"/>
          <w:sz w:val="22"/>
          <w:szCs w:val="22"/>
        </w:rPr>
        <w:t>inf:</w:t>
      </w:r>
      <w:r w:rsidRPr="000B3A8F">
        <w:rPr>
          <w:color w:val="000000" w:themeColor="text1"/>
          <w:sz w:val="22"/>
          <w:szCs w:val="22"/>
        </w:rPr>
        <w:t xml:space="preserve"> </w:t>
      </w:r>
      <w:r w:rsidR="00FB678B" w:rsidRPr="000B3A8F">
        <w:rPr>
          <w:color w:val="000000" w:themeColor="text1"/>
          <w:sz w:val="22"/>
          <w:szCs w:val="22"/>
        </w:rPr>
        <w:t xml:space="preserve">inflation </w:t>
      </w:r>
      <w:r w:rsidR="00DC75BC" w:rsidRPr="000B3A8F">
        <w:rPr>
          <w:color w:val="000000" w:themeColor="text1"/>
          <w:sz w:val="22"/>
          <w:szCs w:val="22"/>
        </w:rPr>
        <w:t xml:space="preserve">is calculated as a </w:t>
      </w:r>
      <w:bookmarkStart w:id="60" w:name="OLE_LINK17"/>
      <w:bookmarkStart w:id="61" w:name="OLE_LINK18"/>
      <w:r w:rsidR="00DC75BC" w:rsidRPr="000B3A8F">
        <w:rPr>
          <w:color w:val="000000" w:themeColor="text1"/>
          <w:sz w:val="22"/>
          <w:szCs w:val="22"/>
        </w:rPr>
        <w:t>percentage change of the consumer price index</w:t>
      </w:r>
      <w:bookmarkEnd w:id="60"/>
      <w:bookmarkEnd w:id="61"/>
    </w:p>
    <w:bookmarkEnd w:id="57"/>
    <w:p w:rsidR="00034AE6" w:rsidRPr="000B3A8F" w:rsidRDefault="00034AE6" w:rsidP="000B3A8F">
      <w:pPr>
        <w:pStyle w:val="ListParagraph"/>
        <w:numPr>
          <w:ilvl w:val="0"/>
          <w:numId w:val="17"/>
        </w:numPr>
        <w:spacing w:line="340" w:lineRule="exact"/>
        <w:ind w:left="270" w:hanging="270"/>
        <w:jc w:val="both"/>
        <w:rPr>
          <w:color w:val="000000" w:themeColor="text1"/>
          <w:sz w:val="22"/>
          <w:szCs w:val="22"/>
        </w:rPr>
      </w:pPr>
      <m:oMath>
        <m:r>
          <m:rPr>
            <m:sty m:val="b"/>
          </m:rPr>
          <w:rPr>
            <w:rFonts w:ascii="Cambria Math" w:hAnsi="Cambria Math"/>
            <w:color w:val="000000" w:themeColor="text1"/>
            <w:sz w:val="22"/>
            <w:szCs w:val="22"/>
          </w:rPr>
          <m:t>iip</m:t>
        </m:r>
      </m:oMath>
      <w:r w:rsidRPr="000B3A8F">
        <w:rPr>
          <w:b/>
          <w:color w:val="000000" w:themeColor="text1"/>
          <w:sz w:val="22"/>
          <w:szCs w:val="22"/>
        </w:rPr>
        <w:t>:</w:t>
      </w:r>
      <w:r w:rsidRPr="000B3A8F">
        <w:rPr>
          <w:color w:val="000000" w:themeColor="text1"/>
          <w:sz w:val="22"/>
          <w:szCs w:val="22"/>
        </w:rPr>
        <w:t xml:space="preserve"> </w:t>
      </w:r>
      <w:r w:rsidR="00DC75BC" w:rsidRPr="000B3A8F">
        <w:rPr>
          <w:color w:val="000000" w:themeColor="text1"/>
          <w:sz w:val="22"/>
          <w:szCs w:val="22"/>
        </w:rPr>
        <w:t xml:space="preserve">percentage change of the </w:t>
      </w:r>
      <w:r w:rsidR="00282B56" w:rsidRPr="000B3A8F">
        <w:rPr>
          <w:color w:val="000000" w:themeColor="text1"/>
          <w:sz w:val="22"/>
          <w:szCs w:val="22"/>
        </w:rPr>
        <w:t xml:space="preserve">index of </w:t>
      </w:r>
      <w:r w:rsidR="00DC75BC" w:rsidRPr="000B3A8F">
        <w:rPr>
          <w:color w:val="000000" w:themeColor="text1"/>
          <w:sz w:val="22"/>
          <w:szCs w:val="22"/>
        </w:rPr>
        <w:t>i</w:t>
      </w:r>
      <w:r w:rsidR="00282B56" w:rsidRPr="000B3A8F">
        <w:rPr>
          <w:color w:val="000000" w:themeColor="text1"/>
          <w:sz w:val="22"/>
          <w:szCs w:val="22"/>
        </w:rPr>
        <w:t>ndustrial production</w:t>
      </w:r>
    </w:p>
    <w:p w:rsidR="00034AE6" w:rsidRPr="000B3A8F" w:rsidRDefault="00034AE6" w:rsidP="000B3A8F">
      <w:pPr>
        <w:pStyle w:val="ListParagraph"/>
        <w:numPr>
          <w:ilvl w:val="0"/>
          <w:numId w:val="17"/>
        </w:numPr>
        <w:spacing w:line="340" w:lineRule="exact"/>
        <w:ind w:left="270" w:hanging="270"/>
        <w:jc w:val="both"/>
        <w:rPr>
          <w:color w:val="000000" w:themeColor="text1"/>
          <w:sz w:val="22"/>
          <w:szCs w:val="22"/>
        </w:rPr>
      </w:pPr>
      <w:r w:rsidRPr="000B3A8F">
        <w:rPr>
          <w:b/>
          <w:color w:val="000000" w:themeColor="text1"/>
          <w:sz w:val="22"/>
          <w:szCs w:val="22"/>
        </w:rPr>
        <w:lastRenderedPageBreak/>
        <w:t>opg:</w:t>
      </w:r>
      <w:r w:rsidRPr="000B3A8F">
        <w:rPr>
          <w:color w:val="000000" w:themeColor="text1"/>
          <w:sz w:val="22"/>
          <w:szCs w:val="22"/>
        </w:rPr>
        <w:t xml:space="preserve"> </w:t>
      </w:r>
      <w:r w:rsidR="00DC75BC" w:rsidRPr="000B3A8F">
        <w:rPr>
          <w:color w:val="000000" w:themeColor="text1"/>
          <w:sz w:val="22"/>
          <w:szCs w:val="22"/>
        </w:rPr>
        <w:t xml:space="preserve">output gap </w:t>
      </w:r>
    </w:p>
    <w:p w:rsidR="00034AE6" w:rsidRPr="000B3A8F" w:rsidRDefault="00034AE6" w:rsidP="000B3A8F">
      <w:pPr>
        <w:pStyle w:val="ListParagraph"/>
        <w:numPr>
          <w:ilvl w:val="0"/>
          <w:numId w:val="17"/>
        </w:numPr>
        <w:spacing w:line="340" w:lineRule="exact"/>
        <w:ind w:left="270" w:hanging="270"/>
        <w:jc w:val="both"/>
        <w:rPr>
          <w:color w:val="000000" w:themeColor="text1"/>
          <w:sz w:val="22"/>
          <w:szCs w:val="22"/>
        </w:rPr>
      </w:pPr>
      <w:r w:rsidRPr="000B3A8F">
        <w:rPr>
          <w:b/>
          <w:color w:val="000000" w:themeColor="text1"/>
          <w:sz w:val="22"/>
          <w:szCs w:val="22"/>
        </w:rPr>
        <w:t>gpi:</w:t>
      </w:r>
      <w:r w:rsidRPr="000B3A8F">
        <w:rPr>
          <w:color w:val="000000" w:themeColor="text1"/>
          <w:sz w:val="22"/>
          <w:szCs w:val="22"/>
        </w:rPr>
        <w:t xml:space="preserve"> </w:t>
      </w:r>
      <w:bookmarkStart w:id="62" w:name="OLE_LINK15"/>
      <w:bookmarkStart w:id="63" w:name="OLE_LINK16"/>
      <w:r w:rsidR="00DC75BC" w:rsidRPr="000B3A8F">
        <w:rPr>
          <w:color w:val="000000" w:themeColor="text1"/>
          <w:sz w:val="22"/>
          <w:szCs w:val="22"/>
        </w:rPr>
        <w:t xml:space="preserve">percentage change of the import price index </w:t>
      </w:r>
      <w:bookmarkEnd w:id="62"/>
      <w:bookmarkEnd w:id="63"/>
    </w:p>
    <w:p w:rsidR="00034AE6" w:rsidRPr="000B3A8F" w:rsidRDefault="00034AE6" w:rsidP="000B3A8F">
      <w:pPr>
        <w:pStyle w:val="ListParagraph"/>
        <w:numPr>
          <w:ilvl w:val="0"/>
          <w:numId w:val="17"/>
        </w:numPr>
        <w:spacing w:line="340" w:lineRule="exact"/>
        <w:ind w:left="270" w:hanging="270"/>
        <w:jc w:val="both"/>
        <w:rPr>
          <w:color w:val="000000" w:themeColor="text1"/>
          <w:sz w:val="22"/>
          <w:szCs w:val="22"/>
        </w:rPr>
      </w:pPr>
      <w:r w:rsidRPr="000B3A8F">
        <w:rPr>
          <w:b/>
          <w:color w:val="000000" w:themeColor="text1"/>
          <w:sz w:val="22"/>
          <w:szCs w:val="22"/>
        </w:rPr>
        <w:t>imp:</w:t>
      </w:r>
      <w:r w:rsidRPr="000B3A8F">
        <w:rPr>
          <w:color w:val="000000" w:themeColor="text1"/>
          <w:sz w:val="22"/>
          <w:szCs w:val="22"/>
        </w:rPr>
        <w:t xml:space="preserve"> </w:t>
      </w:r>
      <w:r w:rsidR="00DC75BC" w:rsidRPr="000B3A8F">
        <w:rPr>
          <w:color w:val="000000" w:themeColor="text1"/>
          <w:sz w:val="22"/>
          <w:szCs w:val="22"/>
        </w:rPr>
        <w:t xml:space="preserve">percentage change of the consumer price index </w:t>
      </w:r>
    </w:p>
    <w:p w:rsidR="00034AE6" w:rsidRPr="000B3A8F" w:rsidRDefault="00034AE6" w:rsidP="000B3A8F">
      <w:pPr>
        <w:pStyle w:val="ListParagraph"/>
        <w:numPr>
          <w:ilvl w:val="0"/>
          <w:numId w:val="17"/>
        </w:numPr>
        <w:spacing w:line="340" w:lineRule="exact"/>
        <w:ind w:left="270" w:hanging="270"/>
        <w:jc w:val="both"/>
        <w:rPr>
          <w:color w:val="000000" w:themeColor="text1"/>
          <w:sz w:val="22"/>
          <w:szCs w:val="22"/>
        </w:rPr>
      </w:pPr>
      <w:r w:rsidRPr="000B3A8F">
        <w:rPr>
          <w:b/>
          <w:color w:val="000000" w:themeColor="text1"/>
          <w:sz w:val="22"/>
          <w:szCs w:val="22"/>
        </w:rPr>
        <w:t>er:</w:t>
      </w:r>
      <w:r w:rsidRPr="000B3A8F">
        <w:rPr>
          <w:color w:val="000000" w:themeColor="text1"/>
          <w:sz w:val="22"/>
          <w:szCs w:val="22"/>
        </w:rPr>
        <w:t xml:space="preserve"> </w:t>
      </w:r>
      <w:r w:rsidR="00282B56" w:rsidRPr="000B3A8F">
        <w:rPr>
          <w:color w:val="000000" w:themeColor="text1"/>
          <w:sz w:val="22"/>
          <w:szCs w:val="22"/>
        </w:rPr>
        <w:t xml:space="preserve">percentage change of nominal exchange rate </w:t>
      </w:r>
      <w:r w:rsidRPr="000B3A8F">
        <w:rPr>
          <w:color w:val="000000" w:themeColor="text1"/>
          <w:sz w:val="22"/>
          <w:szCs w:val="22"/>
        </w:rPr>
        <w:t xml:space="preserve">USDVND </w:t>
      </w:r>
    </w:p>
    <w:p w:rsidR="00034AE6" w:rsidRPr="000B3A8F" w:rsidRDefault="00034AE6" w:rsidP="000B3A8F">
      <w:pPr>
        <w:pStyle w:val="ListParagraph"/>
        <w:numPr>
          <w:ilvl w:val="0"/>
          <w:numId w:val="17"/>
        </w:numPr>
        <w:spacing w:line="340" w:lineRule="exact"/>
        <w:ind w:left="270" w:hanging="270"/>
        <w:jc w:val="both"/>
        <w:rPr>
          <w:color w:val="000000" w:themeColor="text1"/>
          <w:sz w:val="22"/>
          <w:szCs w:val="22"/>
        </w:rPr>
      </w:pPr>
      <m:oMath>
        <m:r>
          <m:rPr>
            <m:sty m:val="bi"/>
          </m:rPr>
          <w:rPr>
            <w:rFonts w:ascii="Cambria Math" w:hAnsi="Cambria Math"/>
            <w:color w:val="000000" w:themeColor="text1"/>
            <w:sz w:val="22"/>
            <w:szCs w:val="22"/>
          </w:rPr>
          <m:t>G(</m:t>
        </m:r>
        <m:sSub>
          <m:sSubPr>
            <m:ctrlPr>
              <w:rPr>
                <w:rFonts w:ascii="Cambria Math" w:hAnsi="Cambria Math"/>
                <w:b/>
                <w:i/>
                <w:color w:val="000000" w:themeColor="text1"/>
                <w:sz w:val="22"/>
                <w:szCs w:val="22"/>
              </w:rPr>
            </m:ctrlPr>
          </m:sSubPr>
          <m:e>
            <m:r>
              <m:rPr>
                <m:sty m:val="bi"/>
              </m:rPr>
              <w:rPr>
                <w:rFonts w:ascii="Cambria Math" w:hAnsi="Cambria Math"/>
                <w:color w:val="000000" w:themeColor="text1"/>
                <w:sz w:val="22"/>
                <w:szCs w:val="22"/>
              </w:rPr>
              <m:t>s</m:t>
            </m:r>
          </m:e>
          <m:sub>
            <m:r>
              <m:rPr>
                <m:sty m:val="bi"/>
              </m:rPr>
              <w:rPr>
                <w:rFonts w:ascii="Cambria Math" w:hAnsi="Cambria Math"/>
                <w:color w:val="000000" w:themeColor="text1"/>
                <w:sz w:val="22"/>
                <w:szCs w:val="22"/>
              </w:rPr>
              <m:t>t-i</m:t>
            </m:r>
          </m:sub>
        </m:sSub>
        <m:r>
          <m:rPr>
            <m:sty m:val="bi"/>
          </m:rPr>
          <w:rPr>
            <w:rFonts w:ascii="Cambria Math" w:hAnsi="Cambria Math"/>
            <w:color w:val="000000" w:themeColor="text1"/>
            <w:sz w:val="22"/>
            <w:szCs w:val="22"/>
          </w:rPr>
          <m:t>;γ,c)</m:t>
        </m:r>
      </m:oMath>
      <w:r w:rsidRPr="000B3A8F">
        <w:rPr>
          <w:b/>
          <w:color w:val="000000" w:themeColor="text1"/>
          <w:sz w:val="22"/>
          <w:szCs w:val="22"/>
        </w:rPr>
        <w:t>:</w:t>
      </w:r>
      <w:r w:rsidRPr="000B3A8F">
        <w:rPr>
          <w:color w:val="000000" w:themeColor="text1"/>
          <w:sz w:val="22"/>
          <w:szCs w:val="22"/>
        </w:rPr>
        <w:t xml:space="preserve"> </w:t>
      </w:r>
      <w:r w:rsidR="00282B56" w:rsidRPr="000B3A8F">
        <w:rPr>
          <w:color w:val="000000" w:themeColor="text1"/>
          <w:sz w:val="22"/>
          <w:szCs w:val="22"/>
        </w:rPr>
        <w:t xml:space="preserve">transition function </w:t>
      </w:r>
    </w:p>
    <w:p w:rsidR="00034AE6" w:rsidRPr="000B3A8F" w:rsidRDefault="00034AE6" w:rsidP="000B3A8F">
      <w:pPr>
        <w:pStyle w:val="ListParagraph"/>
        <w:numPr>
          <w:ilvl w:val="0"/>
          <w:numId w:val="17"/>
        </w:numPr>
        <w:spacing w:line="340" w:lineRule="exact"/>
        <w:ind w:left="270" w:hanging="270"/>
        <w:jc w:val="both"/>
        <w:rPr>
          <w:color w:val="000000" w:themeColor="text1"/>
          <w:sz w:val="22"/>
          <w:szCs w:val="22"/>
        </w:rPr>
      </w:pPr>
      <m:oMath>
        <m:r>
          <m:rPr>
            <m:sty m:val="bi"/>
          </m:rPr>
          <w:rPr>
            <w:rFonts w:ascii="Cambria Math" w:hAnsi="Cambria Math"/>
            <w:color w:val="000000" w:themeColor="text1"/>
            <w:sz w:val="22"/>
            <w:szCs w:val="22"/>
          </w:rPr>
          <m:t>γ</m:t>
        </m:r>
      </m:oMath>
      <w:r w:rsidRPr="000B3A8F">
        <w:rPr>
          <w:b/>
          <w:color w:val="000000" w:themeColor="text1"/>
          <w:sz w:val="22"/>
          <w:szCs w:val="22"/>
        </w:rPr>
        <w:t>:</w:t>
      </w:r>
      <w:r w:rsidRPr="000B3A8F">
        <w:rPr>
          <w:color w:val="000000" w:themeColor="text1"/>
          <w:sz w:val="22"/>
          <w:szCs w:val="22"/>
        </w:rPr>
        <w:t xml:space="preserve"> </w:t>
      </w:r>
      <w:r w:rsidR="00282B56" w:rsidRPr="000B3A8F">
        <w:rPr>
          <w:color w:val="000000" w:themeColor="text1"/>
          <w:sz w:val="22"/>
          <w:szCs w:val="22"/>
        </w:rPr>
        <w:t>the slope parameter indicating the transition rate between two regions of the transition function</w:t>
      </w:r>
    </w:p>
    <w:p w:rsidR="00034AE6" w:rsidRPr="000B3A8F" w:rsidRDefault="00034AE6" w:rsidP="000B3A8F">
      <w:pPr>
        <w:pStyle w:val="ListParagraph"/>
        <w:numPr>
          <w:ilvl w:val="0"/>
          <w:numId w:val="17"/>
        </w:numPr>
        <w:tabs>
          <w:tab w:val="left" w:pos="450"/>
        </w:tabs>
        <w:spacing w:line="340" w:lineRule="exact"/>
        <w:ind w:left="270" w:hanging="270"/>
        <w:jc w:val="both"/>
        <w:rPr>
          <w:color w:val="000000" w:themeColor="text1"/>
          <w:sz w:val="22"/>
          <w:szCs w:val="22"/>
        </w:rPr>
      </w:pPr>
      <m:oMath>
        <m:r>
          <m:rPr>
            <m:sty m:val="bi"/>
          </m:rPr>
          <w:rPr>
            <w:rFonts w:ascii="Cambria Math" w:hAnsi="Cambria Math"/>
            <w:color w:val="000000" w:themeColor="text1"/>
            <w:sz w:val="22"/>
            <w:szCs w:val="22"/>
          </w:rPr>
          <m:t>c</m:t>
        </m:r>
      </m:oMath>
      <w:r w:rsidRPr="000B3A8F">
        <w:rPr>
          <w:b/>
          <w:color w:val="000000" w:themeColor="text1"/>
          <w:sz w:val="22"/>
          <w:szCs w:val="22"/>
        </w:rPr>
        <w:t>:</w:t>
      </w:r>
      <w:r w:rsidRPr="000B3A8F">
        <w:rPr>
          <w:color w:val="000000" w:themeColor="text1"/>
          <w:sz w:val="22"/>
          <w:szCs w:val="22"/>
        </w:rPr>
        <w:t xml:space="preserve"> </w:t>
      </w:r>
      <w:r w:rsidR="002938E1" w:rsidRPr="000B3A8F">
        <w:rPr>
          <w:color w:val="000000" w:themeColor="text1"/>
          <w:sz w:val="22"/>
          <w:szCs w:val="22"/>
        </w:rPr>
        <w:t>threshold</w:t>
      </w:r>
    </w:p>
    <w:p w:rsidR="00034AE6" w:rsidRPr="000B3A8F" w:rsidRDefault="00034AE6" w:rsidP="000B3A8F">
      <w:pPr>
        <w:pStyle w:val="ListParagraph"/>
        <w:numPr>
          <w:ilvl w:val="0"/>
          <w:numId w:val="17"/>
        </w:numPr>
        <w:tabs>
          <w:tab w:val="left" w:pos="450"/>
        </w:tabs>
        <w:spacing w:line="340" w:lineRule="exact"/>
        <w:ind w:left="270" w:hanging="270"/>
        <w:jc w:val="both"/>
        <w:rPr>
          <w:color w:val="000000" w:themeColor="text1"/>
          <w:sz w:val="22"/>
          <w:szCs w:val="22"/>
        </w:rPr>
      </w:pPr>
      <w:r w:rsidRPr="000B3A8F">
        <w:rPr>
          <w:b/>
          <w:color w:val="000000" w:themeColor="text1"/>
          <w:sz w:val="22"/>
          <w:szCs w:val="22"/>
        </w:rPr>
        <w:t>s:</w:t>
      </w:r>
      <w:r w:rsidRPr="000B3A8F">
        <w:rPr>
          <w:color w:val="000000" w:themeColor="text1"/>
          <w:sz w:val="22"/>
          <w:szCs w:val="22"/>
        </w:rPr>
        <w:t xml:space="preserve"> </w:t>
      </w:r>
      <w:bookmarkEnd w:id="55"/>
      <w:r w:rsidR="002938E1" w:rsidRPr="000B3A8F">
        <w:rPr>
          <w:color w:val="000000" w:themeColor="text1"/>
          <w:sz w:val="22"/>
          <w:szCs w:val="22"/>
        </w:rPr>
        <w:t>transition variable</w:t>
      </w:r>
    </w:p>
    <w:p w:rsidR="00034AE6" w:rsidRPr="000B3A8F" w:rsidRDefault="00034AE6" w:rsidP="000B3A8F">
      <w:pPr>
        <w:pStyle w:val="ListParagraph"/>
        <w:numPr>
          <w:ilvl w:val="0"/>
          <w:numId w:val="17"/>
        </w:numPr>
        <w:tabs>
          <w:tab w:val="left" w:pos="450"/>
        </w:tabs>
        <w:spacing w:line="340" w:lineRule="exact"/>
        <w:ind w:left="270" w:hanging="270"/>
        <w:jc w:val="both"/>
        <w:rPr>
          <w:color w:val="000000" w:themeColor="text1"/>
          <w:sz w:val="22"/>
          <w:szCs w:val="22"/>
        </w:rPr>
      </w:pPr>
      <m:oMath>
        <m:r>
          <m:rPr>
            <m:sty m:val="bi"/>
          </m:rPr>
          <w:rPr>
            <w:rFonts w:ascii="Cambria Math" w:hAnsi="Cambria Math"/>
            <w:color w:val="000000" w:themeColor="text1"/>
            <w:sz w:val="22"/>
            <w:szCs w:val="22"/>
          </w:rPr>
          <m:t>ε:</m:t>
        </m:r>
      </m:oMath>
      <w:r w:rsidRPr="000B3A8F">
        <w:rPr>
          <w:color w:val="000000" w:themeColor="text1"/>
          <w:sz w:val="22"/>
          <w:szCs w:val="22"/>
        </w:rPr>
        <w:t xml:space="preserve"> </w:t>
      </w:r>
      <w:r w:rsidR="002938E1" w:rsidRPr="000B3A8F">
        <w:rPr>
          <w:color w:val="000000" w:themeColor="text1"/>
          <w:sz w:val="22"/>
          <w:szCs w:val="22"/>
        </w:rPr>
        <w:t>error term</w:t>
      </w:r>
    </w:p>
    <w:p w:rsidR="00034AE6" w:rsidRPr="000B3A8F" w:rsidRDefault="004D5322" w:rsidP="000B3A8F">
      <w:pPr>
        <w:spacing w:line="340" w:lineRule="exact"/>
        <w:jc w:val="both"/>
        <w:rPr>
          <w:color w:val="000000" w:themeColor="text1"/>
          <w:sz w:val="22"/>
          <w:szCs w:val="22"/>
        </w:rPr>
      </w:pPr>
      <w:bookmarkStart w:id="64" w:name="OLE_LINK22"/>
      <w:bookmarkStart w:id="65" w:name="OLE_LINK23"/>
      <w:bookmarkEnd w:id="58"/>
      <w:bookmarkEnd w:id="59"/>
      <w:r w:rsidRPr="000B3A8F">
        <w:rPr>
          <w:color w:val="000000" w:themeColor="text1"/>
          <w:sz w:val="22"/>
          <w:szCs w:val="22"/>
        </w:rPr>
        <w:t>Short run ERPT coefficient</w:t>
      </w:r>
      <w:bookmarkEnd w:id="64"/>
      <w:bookmarkEnd w:id="65"/>
      <w:r w:rsidR="00034AE6" w:rsidRPr="000B3A8F">
        <w:rPr>
          <w:color w:val="000000" w:themeColor="text1"/>
          <w:sz w:val="22"/>
          <w:szCs w:val="22"/>
        </w:rPr>
        <w:t>:</w:t>
      </w:r>
    </w:p>
    <w:p w:rsidR="00034AE6" w:rsidRPr="000B3A8F" w:rsidRDefault="00034AE6" w:rsidP="000B3A8F">
      <w:pPr>
        <w:pStyle w:val="ListParagraph"/>
        <w:numPr>
          <w:ilvl w:val="0"/>
          <w:numId w:val="17"/>
        </w:numPr>
        <w:spacing w:line="340" w:lineRule="exact"/>
        <w:jc w:val="center"/>
        <w:rPr>
          <w:color w:val="000000" w:themeColor="text1"/>
          <w:sz w:val="22"/>
          <w:szCs w:val="22"/>
        </w:rPr>
      </w:pPr>
      <w:r w:rsidRPr="000B3A8F">
        <w:rPr>
          <w:color w:val="000000" w:themeColor="text1"/>
          <w:sz w:val="22"/>
          <w:szCs w:val="22"/>
        </w:rPr>
        <w:t xml:space="preserve">SR ERPT = </w:t>
      </w:r>
      <m:oMath>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β</m:t>
            </m:r>
          </m:e>
          <m:sub>
            <m:r>
              <w:rPr>
                <w:rFonts w:ascii="Cambria Math" w:hAnsi="Cambria Math"/>
                <w:color w:val="000000" w:themeColor="text1"/>
                <w:sz w:val="22"/>
                <w:szCs w:val="22"/>
              </w:rPr>
              <m:t>0</m:t>
            </m:r>
          </m:sub>
        </m:sSub>
        <m:r>
          <w:rPr>
            <w:rFonts w:ascii="Cambria Math" w:hAnsi="Cambria Math"/>
            <w:color w:val="000000" w:themeColor="text1"/>
            <w:sz w:val="22"/>
            <w:szCs w:val="22"/>
          </w:rPr>
          <m:t>+</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m:t>
            </m:r>
          </m:e>
          <m:sub>
            <m:r>
              <w:rPr>
                <w:rFonts w:ascii="Cambria Math" w:hAnsi="Cambria Math"/>
                <w:color w:val="000000" w:themeColor="text1"/>
                <w:sz w:val="22"/>
                <w:szCs w:val="22"/>
              </w:rPr>
              <m:t>0</m:t>
            </m:r>
          </m:sub>
        </m:sSub>
        <m:r>
          <w:rPr>
            <w:rFonts w:ascii="Cambria Math" w:hAnsi="Cambria Math"/>
            <w:color w:val="000000" w:themeColor="text1"/>
            <w:sz w:val="22"/>
            <w:szCs w:val="22"/>
          </w:rPr>
          <m:t>G(</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s</m:t>
            </m:r>
          </m:e>
          <m:sub>
            <m:r>
              <w:rPr>
                <w:rFonts w:ascii="Cambria Math" w:hAnsi="Cambria Math"/>
                <w:color w:val="000000" w:themeColor="text1"/>
                <w:sz w:val="22"/>
                <w:szCs w:val="22"/>
              </w:rPr>
              <m:t>t</m:t>
            </m:r>
          </m:sub>
        </m:sSub>
        <m:r>
          <w:rPr>
            <w:rFonts w:ascii="Cambria Math" w:hAnsi="Cambria Math"/>
            <w:color w:val="000000" w:themeColor="text1"/>
            <w:sz w:val="22"/>
            <w:szCs w:val="22"/>
          </w:rPr>
          <m:t>;γ,c)</m:t>
        </m:r>
      </m:oMath>
    </w:p>
    <w:p w:rsidR="00034AE6" w:rsidRPr="000B3A8F" w:rsidRDefault="004D5322" w:rsidP="000B3A8F">
      <w:pPr>
        <w:spacing w:line="340" w:lineRule="exact"/>
        <w:jc w:val="both"/>
        <w:rPr>
          <w:color w:val="000000" w:themeColor="text1"/>
          <w:sz w:val="22"/>
          <w:szCs w:val="22"/>
        </w:rPr>
      </w:pPr>
      <w:r w:rsidRPr="000B3A8F">
        <w:rPr>
          <w:color w:val="000000" w:themeColor="text1"/>
          <w:sz w:val="22"/>
          <w:szCs w:val="22"/>
        </w:rPr>
        <w:t>Long run ERPT coefficient</w:t>
      </w:r>
    </w:p>
    <w:p w:rsidR="00034AE6" w:rsidRPr="000B3A8F" w:rsidRDefault="00034AE6" w:rsidP="000B3A8F">
      <w:pPr>
        <w:pStyle w:val="ListParagraph"/>
        <w:numPr>
          <w:ilvl w:val="0"/>
          <w:numId w:val="17"/>
        </w:numPr>
        <w:spacing w:before="120" w:after="120" w:line="340" w:lineRule="exact"/>
        <w:jc w:val="center"/>
        <w:rPr>
          <w:color w:val="000000" w:themeColor="text1"/>
          <w:sz w:val="22"/>
          <w:szCs w:val="22"/>
        </w:rPr>
      </w:pPr>
      <w:r w:rsidRPr="000B3A8F">
        <w:rPr>
          <w:color w:val="000000" w:themeColor="text1"/>
          <w:sz w:val="22"/>
          <w:szCs w:val="22"/>
        </w:rPr>
        <w:t xml:space="preserve">LR ERPT = </w:t>
      </w:r>
      <m:oMath>
        <m:f>
          <m:fPr>
            <m:ctrlPr>
              <w:rPr>
                <w:rFonts w:ascii="Cambria Math" w:hAnsi="Cambria Math"/>
                <w:i/>
                <w:color w:val="000000" w:themeColor="text1"/>
                <w:sz w:val="22"/>
                <w:szCs w:val="22"/>
              </w:rPr>
            </m:ctrlPr>
          </m:fPr>
          <m:num>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L</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β</m:t>
                    </m:r>
                  </m:e>
                  <m:sub>
                    <m:r>
                      <w:rPr>
                        <w:rFonts w:ascii="Cambria Math" w:hAnsi="Cambria Math"/>
                        <w:color w:val="000000" w:themeColor="text1"/>
                        <w:sz w:val="22"/>
                        <w:szCs w:val="22"/>
                      </w:rPr>
                      <m:t xml:space="preserve">j </m:t>
                    </m:r>
                  </m:sub>
                </m:sSub>
                <m:r>
                  <w:rPr>
                    <w:rFonts w:ascii="Cambria Math" w:hAnsi="Cambria Math"/>
                    <w:color w:val="000000" w:themeColor="text1"/>
                    <w:sz w:val="22"/>
                    <w:szCs w:val="22"/>
                  </w:rPr>
                  <m:t>+</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j=0</m:t>
                    </m:r>
                  </m:sub>
                  <m:sup>
                    <m:r>
                      <w:rPr>
                        <w:rFonts w:ascii="Cambria Math" w:hAnsi="Cambria Math"/>
                        <w:color w:val="000000" w:themeColor="text1"/>
                        <w:sz w:val="22"/>
                        <w:szCs w:val="22"/>
                      </w:rPr>
                      <m:t>P</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m:t>
                        </m:r>
                      </m:e>
                      <m:sub>
                        <m:r>
                          <w:rPr>
                            <w:rFonts w:ascii="Cambria Math" w:hAnsi="Cambria Math"/>
                            <w:color w:val="000000" w:themeColor="text1"/>
                            <w:sz w:val="22"/>
                            <w:szCs w:val="22"/>
                          </w:rPr>
                          <m:t>j</m:t>
                        </m:r>
                      </m:sub>
                    </m:sSub>
                    <m:r>
                      <w:rPr>
                        <w:rFonts w:ascii="Cambria Math" w:hAnsi="Cambria Math"/>
                        <w:color w:val="000000" w:themeColor="text1"/>
                        <w:sz w:val="22"/>
                        <w:szCs w:val="22"/>
                      </w:rPr>
                      <m:t>G(</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s</m:t>
                        </m:r>
                      </m:e>
                      <m:sub>
                        <m:r>
                          <w:rPr>
                            <w:rFonts w:ascii="Cambria Math" w:hAnsi="Cambria Math"/>
                            <w:color w:val="000000" w:themeColor="text1"/>
                            <w:sz w:val="22"/>
                            <w:szCs w:val="22"/>
                          </w:rPr>
                          <m:t>t</m:t>
                        </m:r>
                      </m:sub>
                    </m:sSub>
                    <m:r>
                      <w:rPr>
                        <w:rFonts w:ascii="Cambria Math" w:hAnsi="Cambria Math"/>
                        <w:color w:val="000000" w:themeColor="text1"/>
                        <w:sz w:val="22"/>
                        <w:szCs w:val="22"/>
                      </w:rPr>
                      <m:t>;γ,c)</m:t>
                    </m:r>
                  </m:e>
                </m:nary>
              </m:e>
            </m:nary>
          </m:num>
          <m:den>
            <m:r>
              <w:rPr>
                <w:rFonts w:ascii="Cambria Math" w:hAnsi="Cambria Math"/>
                <w:color w:val="000000" w:themeColor="text1"/>
                <w:sz w:val="22"/>
                <w:szCs w:val="22"/>
              </w:rPr>
              <m:t>1-</m:t>
            </m:r>
            <m:nary>
              <m:naryPr>
                <m:chr m:val="∑"/>
                <m:limLoc m:val="undOvr"/>
                <m:ctrlPr>
                  <w:rPr>
                    <w:rFonts w:ascii="Cambria Math" w:hAnsi="Cambria Math"/>
                    <w:i/>
                    <w:color w:val="000000" w:themeColor="text1"/>
                    <w:sz w:val="22"/>
                    <w:szCs w:val="22"/>
                  </w:rPr>
                </m:ctrlPr>
              </m:naryPr>
              <m:sub>
                <m:r>
                  <w:rPr>
                    <w:rFonts w:ascii="Cambria Math" w:hAnsi="Cambria Math"/>
                    <w:color w:val="000000" w:themeColor="text1"/>
                    <w:sz w:val="22"/>
                    <w:szCs w:val="22"/>
                  </w:rPr>
                  <m:t>j=1</m:t>
                </m:r>
              </m:sub>
              <m:sup>
                <m:r>
                  <w:rPr>
                    <w:rFonts w:ascii="Cambria Math" w:hAnsi="Cambria Math"/>
                    <w:color w:val="000000" w:themeColor="text1"/>
                    <w:sz w:val="22"/>
                    <w:szCs w:val="22"/>
                  </w:rPr>
                  <m:t>M</m:t>
                </m:r>
              </m:sup>
              <m:e>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λ</m:t>
                    </m:r>
                  </m:e>
                  <m:sub>
                    <m:r>
                      <w:rPr>
                        <w:rFonts w:ascii="Cambria Math" w:hAnsi="Cambria Math"/>
                        <w:color w:val="000000" w:themeColor="text1"/>
                        <w:sz w:val="22"/>
                        <w:szCs w:val="22"/>
                      </w:rPr>
                      <m:t>j</m:t>
                    </m:r>
                  </m:sub>
                </m:sSub>
              </m:e>
            </m:nary>
          </m:den>
        </m:f>
      </m:oMath>
    </w:p>
    <w:p w:rsidR="00034AE6" w:rsidRPr="000B3A8F" w:rsidRDefault="00034AE6" w:rsidP="000B3A8F">
      <w:pPr>
        <w:spacing w:line="340" w:lineRule="exact"/>
        <w:ind w:firstLine="90"/>
        <w:jc w:val="both"/>
        <w:rPr>
          <w:color w:val="000000" w:themeColor="text1"/>
          <w:sz w:val="22"/>
          <w:szCs w:val="22"/>
        </w:rPr>
      </w:pPr>
      <m:oMath>
        <m:r>
          <w:rPr>
            <w:rFonts w:ascii="Cambria Math" w:hAnsi="Cambria Math"/>
            <w:color w:val="000000" w:themeColor="text1"/>
            <w:sz w:val="22"/>
            <w:szCs w:val="22"/>
          </w:rPr>
          <m:t>G(</m:t>
        </m:r>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s</m:t>
            </m:r>
          </m:e>
          <m:sub>
            <m:r>
              <w:rPr>
                <w:rFonts w:ascii="Cambria Math" w:hAnsi="Cambria Math"/>
                <w:color w:val="000000" w:themeColor="text1"/>
                <w:sz w:val="22"/>
                <w:szCs w:val="22"/>
              </w:rPr>
              <m:t>t</m:t>
            </m:r>
          </m:sub>
        </m:sSub>
        <m:r>
          <w:rPr>
            <w:rFonts w:ascii="Cambria Math" w:hAnsi="Cambria Math"/>
            <w:color w:val="000000" w:themeColor="text1"/>
            <w:sz w:val="22"/>
            <w:szCs w:val="22"/>
          </w:rPr>
          <m:t>;γ,c)</m:t>
        </m:r>
      </m:oMath>
      <w:r w:rsidRPr="000B3A8F">
        <w:rPr>
          <w:color w:val="000000" w:themeColor="text1"/>
          <w:sz w:val="22"/>
          <w:szCs w:val="22"/>
        </w:rPr>
        <w:t xml:space="preserve"> </w:t>
      </w:r>
      <w:proofErr w:type="gramStart"/>
      <w:r w:rsidR="004D5322" w:rsidRPr="000B3A8F">
        <w:rPr>
          <w:color w:val="000000" w:themeColor="text1"/>
          <w:sz w:val="22"/>
          <w:szCs w:val="22"/>
        </w:rPr>
        <w:t>is</w:t>
      </w:r>
      <w:proofErr w:type="gramEnd"/>
      <w:r w:rsidR="004D5322" w:rsidRPr="000B3A8F">
        <w:rPr>
          <w:color w:val="000000" w:themeColor="text1"/>
          <w:sz w:val="22"/>
          <w:szCs w:val="22"/>
        </w:rPr>
        <w:t xml:space="preserve"> assumed as logics function </w:t>
      </w:r>
      <w:r w:rsidRPr="000B3A8F">
        <w:rPr>
          <w:color w:val="000000" w:themeColor="text1"/>
          <w:sz w:val="22"/>
          <w:szCs w:val="22"/>
        </w:rPr>
        <w:t xml:space="preserve">(LSTR) </w:t>
      </w:r>
      <w:r w:rsidR="004D5322" w:rsidRPr="000B3A8F">
        <w:rPr>
          <w:color w:val="000000" w:themeColor="text1"/>
          <w:sz w:val="22"/>
          <w:szCs w:val="22"/>
        </w:rPr>
        <w:t>or exponential function</w:t>
      </w:r>
      <w:r w:rsidRPr="000B3A8F">
        <w:rPr>
          <w:color w:val="000000" w:themeColor="text1"/>
          <w:sz w:val="22"/>
          <w:szCs w:val="22"/>
        </w:rPr>
        <w:t xml:space="preserve"> (ESTR). </w:t>
      </w:r>
    </w:p>
    <w:bookmarkEnd w:id="56"/>
    <w:p w:rsidR="002A7B5A" w:rsidRPr="000B3A8F" w:rsidRDefault="00B42D45" w:rsidP="000B3A8F">
      <w:pPr>
        <w:pStyle w:val="Heading2"/>
        <w:spacing w:line="340" w:lineRule="exact"/>
        <w:rPr>
          <w:rFonts w:ascii="Times New Roman" w:eastAsia="Calibri" w:hAnsi="Times New Roman" w:cs="Times New Roman"/>
          <w:b/>
          <w:color w:val="auto"/>
          <w:sz w:val="22"/>
          <w:szCs w:val="22"/>
        </w:rPr>
      </w:pPr>
      <w:r w:rsidRPr="000B3A8F">
        <w:rPr>
          <w:rFonts w:ascii="Times New Roman" w:eastAsia="Calibri" w:hAnsi="Times New Roman" w:cs="Times New Roman"/>
          <w:b/>
          <w:color w:val="auto"/>
          <w:sz w:val="22"/>
          <w:szCs w:val="22"/>
        </w:rPr>
        <w:t>3.3</w:t>
      </w:r>
      <w:r w:rsidR="002A7B5A" w:rsidRPr="000B3A8F">
        <w:rPr>
          <w:rFonts w:ascii="Times New Roman" w:eastAsia="Calibri" w:hAnsi="Times New Roman" w:cs="Times New Roman"/>
          <w:b/>
          <w:color w:val="auto"/>
          <w:sz w:val="22"/>
          <w:szCs w:val="22"/>
        </w:rPr>
        <w:t xml:space="preserve"> </w:t>
      </w:r>
      <w:r w:rsidR="006D61EB" w:rsidRPr="000B3A8F">
        <w:rPr>
          <w:rFonts w:ascii="Times New Roman" w:eastAsia="Calibri" w:hAnsi="Times New Roman" w:cs="Times New Roman"/>
          <w:b/>
          <w:color w:val="auto"/>
          <w:sz w:val="22"/>
          <w:szCs w:val="22"/>
        </w:rPr>
        <w:t>Data</w:t>
      </w:r>
    </w:p>
    <w:p w:rsidR="009222C2" w:rsidRPr="000B3A8F" w:rsidRDefault="00D445FE" w:rsidP="000B3A8F">
      <w:pPr>
        <w:spacing w:line="340" w:lineRule="exact"/>
        <w:jc w:val="both"/>
        <w:rPr>
          <w:color w:val="000000" w:themeColor="text1"/>
          <w:sz w:val="22"/>
          <w:szCs w:val="22"/>
        </w:rPr>
      </w:pPr>
      <w:bookmarkStart w:id="66" w:name="_Toc9489580"/>
      <w:r w:rsidRPr="000B3A8F">
        <w:rPr>
          <w:color w:val="000000" w:themeColor="text1"/>
          <w:sz w:val="22"/>
          <w:szCs w:val="22"/>
        </w:rPr>
        <w:t xml:space="preserve">The study used monthly frequency data from January 2000 to December 2018. However, to investigate the research question about the level of exchange rate pass-through depends on the trade openness the quarterly frequency data is applied. The data source </w:t>
      </w:r>
      <w:proofErr w:type="gramStart"/>
      <w:r w:rsidRPr="000B3A8F">
        <w:rPr>
          <w:color w:val="000000" w:themeColor="text1"/>
          <w:sz w:val="22"/>
          <w:szCs w:val="22"/>
        </w:rPr>
        <w:t>was collected</w:t>
      </w:r>
      <w:proofErr w:type="gramEnd"/>
      <w:r w:rsidRPr="000B3A8F">
        <w:rPr>
          <w:color w:val="000000" w:themeColor="text1"/>
          <w:sz w:val="22"/>
          <w:szCs w:val="22"/>
        </w:rPr>
        <w:t xml:space="preserve"> from Data Stream of Thomson Reuters and the General Statistics Office of Vietnam.</w:t>
      </w:r>
    </w:p>
    <w:p w:rsidR="00B42D45" w:rsidRPr="000B3A8F" w:rsidRDefault="00B42D45" w:rsidP="000B3A8F">
      <w:pPr>
        <w:spacing w:line="340" w:lineRule="exact"/>
        <w:jc w:val="both"/>
        <w:rPr>
          <w:color w:val="000000" w:themeColor="text1"/>
          <w:sz w:val="22"/>
          <w:szCs w:val="22"/>
        </w:rPr>
      </w:pPr>
    </w:p>
    <w:p w:rsidR="00B42D45" w:rsidRPr="000B3A8F" w:rsidRDefault="00B42D45" w:rsidP="000B3A8F">
      <w:pPr>
        <w:spacing w:line="340" w:lineRule="exact"/>
        <w:jc w:val="both"/>
        <w:rPr>
          <w:color w:val="000000" w:themeColor="text1"/>
          <w:sz w:val="22"/>
          <w:szCs w:val="22"/>
        </w:rPr>
      </w:pPr>
    </w:p>
    <w:p w:rsidR="00B42D45" w:rsidRPr="000B3A8F" w:rsidRDefault="00B42D45" w:rsidP="000B3A8F">
      <w:pPr>
        <w:spacing w:line="340" w:lineRule="exact"/>
        <w:jc w:val="both"/>
        <w:rPr>
          <w:color w:val="000000" w:themeColor="text1"/>
          <w:sz w:val="22"/>
          <w:szCs w:val="22"/>
        </w:rPr>
      </w:pPr>
    </w:p>
    <w:p w:rsidR="00661ECD" w:rsidRPr="000B3A8F" w:rsidRDefault="00B71F25" w:rsidP="000B3A8F">
      <w:pPr>
        <w:pStyle w:val="Heading1"/>
        <w:spacing w:line="340" w:lineRule="exact"/>
        <w:jc w:val="center"/>
        <w:rPr>
          <w:rFonts w:ascii="Times New Roman" w:eastAsia="Calibri" w:hAnsi="Times New Roman" w:cs="Times New Roman"/>
          <w:b/>
          <w:color w:val="auto"/>
          <w:sz w:val="22"/>
          <w:szCs w:val="22"/>
        </w:rPr>
      </w:pPr>
      <w:r w:rsidRPr="000B3A8F">
        <w:rPr>
          <w:rFonts w:ascii="Times New Roman" w:eastAsia="Calibri" w:hAnsi="Times New Roman" w:cs="Times New Roman"/>
          <w:b/>
          <w:color w:val="auto"/>
          <w:sz w:val="22"/>
          <w:szCs w:val="22"/>
        </w:rPr>
        <w:lastRenderedPageBreak/>
        <w:t>Chapter 4</w:t>
      </w:r>
      <w:r w:rsidR="00661ECD" w:rsidRPr="000B3A8F">
        <w:rPr>
          <w:rFonts w:ascii="Times New Roman" w:eastAsia="Calibri" w:hAnsi="Times New Roman" w:cs="Times New Roman"/>
          <w:b/>
          <w:color w:val="auto"/>
          <w:sz w:val="22"/>
          <w:szCs w:val="22"/>
        </w:rPr>
        <w:t xml:space="preserve">: </w:t>
      </w:r>
      <w:bookmarkStart w:id="67" w:name="OLE_LINK1021"/>
      <w:bookmarkStart w:id="68" w:name="OLE_LINK1022"/>
      <w:bookmarkEnd w:id="66"/>
      <w:r w:rsidRPr="000B3A8F">
        <w:rPr>
          <w:rFonts w:ascii="Times New Roman" w:eastAsia="Calibri" w:hAnsi="Times New Roman" w:cs="Times New Roman"/>
          <w:b/>
          <w:color w:val="auto"/>
          <w:sz w:val="22"/>
          <w:szCs w:val="22"/>
        </w:rPr>
        <w:t>SUMMARY OF RESULTS</w:t>
      </w:r>
      <w:bookmarkEnd w:id="67"/>
      <w:bookmarkEnd w:id="68"/>
    </w:p>
    <w:p w:rsidR="006252FD" w:rsidRPr="000B3A8F" w:rsidRDefault="00B42D45" w:rsidP="000B3A8F">
      <w:pPr>
        <w:pStyle w:val="Heading2"/>
        <w:spacing w:line="340" w:lineRule="exact"/>
        <w:rPr>
          <w:rFonts w:ascii="Times New Roman" w:hAnsi="Times New Roman" w:cs="Times New Roman"/>
          <w:b/>
          <w:color w:val="auto"/>
          <w:sz w:val="22"/>
          <w:szCs w:val="22"/>
        </w:rPr>
      </w:pPr>
      <w:bookmarkStart w:id="69" w:name="OLE_LINK630"/>
      <w:bookmarkStart w:id="70" w:name="OLE_LINK631"/>
      <w:bookmarkStart w:id="71" w:name="OLE_LINK1019"/>
      <w:bookmarkStart w:id="72" w:name="OLE_LINK1020"/>
      <w:r w:rsidRPr="000B3A8F">
        <w:rPr>
          <w:rFonts w:ascii="Times New Roman" w:hAnsi="Times New Roman" w:cs="Times New Roman"/>
          <w:b/>
          <w:color w:val="auto"/>
          <w:sz w:val="22"/>
          <w:szCs w:val="22"/>
        </w:rPr>
        <w:t xml:space="preserve">4.1 </w:t>
      </w:r>
      <w:r w:rsidR="00C17784" w:rsidRPr="000B3A8F">
        <w:rPr>
          <w:rFonts w:ascii="Times New Roman" w:hAnsi="Times New Roman" w:cs="Times New Roman"/>
          <w:b/>
          <w:color w:val="auto"/>
          <w:sz w:val="22"/>
          <w:szCs w:val="22"/>
        </w:rPr>
        <w:t>Inflation as a transition variable</w:t>
      </w:r>
    </w:p>
    <w:bookmarkEnd w:id="69"/>
    <w:bookmarkEnd w:id="70"/>
    <w:bookmarkEnd w:id="71"/>
    <w:bookmarkEnd w:id="72"/>
    <w:p w:rsidR="00B71F25" w:rsidRPr="000B3A8F" w:rsidRDefault="00B71F25" w:rsidP="003F0923">
      <w:pPr>
        <w:spacing w:line="340" w:lineRule="exact"/>
        <w:jc w:val="center"/>
        <w:rPr>
          <w:b/>
          <w:sz w:val="22"/>
          <w:szCs w:val="22"/>
        </w:rPr>
      </w:pPr>
      <w:r w:rsidRPr="000B3A8F">
        <w:rPr>
          <w:b/>
          <w:sz w:val="22"/>
          <w:szCs w:val="22"/>
        </w:rPr>
        <w:t>Table</w:t>
      </w:r>
      <w:r w:rsidR="006252FD" w:rsidRPr="000B3A8F">
        <w:rPr>
          <w:b/>
          <w:sz w:val="22"/>
          <w:szCs w:val="22"/>
        </w:rPr>
        <w:t xml:space="preserve"> 4.9: </w:t>
      </w:r>
      <w:bookmarkStart w:id="73" w:name="OLE_LINK58"/>
      <w:bookmarkStart w:id="74" w:name="OLE_LINK59"/>
      <w:r w:rsidRPr="000B3A8F">
        <w:rPr>
          <w:b/>
          <w:sz w:val="22"/>
          <w:szCs w:val="22"/>
        </w:rPr>
        <w:t xml:space="preserve">Result with </w:t>
      </w:r>
      <w:bookmarkEnd w:id="73"/>
      <w:bookmarkEnd w:id="74"/>
      <w:r w:rsidR="00445AB3" w:rsidRPr="000B3A8F">
        <w:rPr>
          <w:b/>
          <w:sz w:val="22"/>
          <w:szCs w:val="22"/>
        </w:rPr>
        <w:t>i</w:t>
      </w:r>
      <w:r w:rsidRPr="000B3A8F">
        <w:rPr>
          <w:b/>
          <w:sz w:val="22"/>
          <w:szCs w:val="22"/>
        </w:rPr>
        <w:t>nflation as a transition variable</w:t>
      </w:r>
    </w:p>
    <w:tbl>
      <w:tblPr>
        <w:tblW w:w="6115" w:type="dxa"/>
        <w:tblLayout w:type="fixed"/>
        <w:tblLook w:val="04A0" w:firstRow="1" w:lastRow="0" w:firstColumn="1" w:lastColumn="0" w:noHBand="0" w:noVBand="1"/>
      </w:tblPr>
      <w:tblGrid>
        <w:gridCol w:w="1059"/>
        <w:gridCol w:w="21"/>
        <w:gridCol w:w="540"/>
        <w:gridCol w:w="360"/>
        <w:gridCol w:w="539"/>
        <w:gridCol w:w="361"/>
        <w:gridCol w:w="989"/>
        <w:gridCol w:w="1170"/>
        <w:gridCol w:w="1070"/>
        <w:gridCol w:w="6"/>
      </w:tblGrid>
      <w:tr w:rsidR="00B71F25" w:rsidRPr="000B3A8F" w:rsidTr="003F0923">
        <w:trPr>
          <w:trHeight w:val="161"/>
        </w:trPr>
        <w:tc>
          <w:tcPr>
            <w:tcW w:w="1059" w:type="dxa"/>
            <w:tcBorders>
              <w:top w:val="double" w:sz="6" w:space="0" w:color="auto"/>
              <w:left w:val="nil"/>
              <w:bottom w:val="double" w:sz="6" w:space="0" w:color="auto"/>
              <w:right w:val="nil"/>
            </w:tcBorders>
            <w:shd w:val="clear" w:color="auto" w:fill="auto"/>
            <w:vAlign w:val="bottom"/>
            <w:hideMark/>
          </w:tcPr>
          <w:p w:rsidR="00B71F25" w:rsidRPr="003F0923" w:rsidRDefault="00B71F25" w:rsidP="003F0923">
            <w:pPr>
              <w:autoSpaceDE w:val="0"/>
              <w:autoSpaceDN w:val="0"/>
              <w:adjustRightInd w:val="0"/>
              <w:jc w:val="center"/>
              <w:rPr>
                <w:b/>
                <w:color w:val="000000" w:themeColor="text1"/>
                <w:sz w:val="20"/>
                <w:szCs w:val="20"/>
              </w:rPr>
            </w:pPr>
            <w:bookmarkStart w:id="75" w:name="_Hlk32186175"/>
            <w:bookmarkStart w:id="76" w:name="OLE_LINK624"/>
            <w:bookmarkStart w:id="77" w:name="OLE_LINK625"/>
            <w:r w:rsidRPr="003F0923">
              <w:rPr>
                <w:b/>
                <w:color w:val="000000" w:themeColor="text1"/>
                <w:sz w:val="20"/>
                <w:szCs w:val="20"/>
              </w:rPr>
              <w:t>Variable</w:t>
            </w:r>
          </w:p>
        </w:tc>
        <w:tc>
          <w:tcPr>
            <w:tcW w:w="1460" w:type="dxa"/>
            <w:gridSpan w:val="4"/>
            <w:tcBorders>
              <w:top w:val="double" w:sz="6" w:space="0" w:color="auto"/>
              <w:left w:val="nil"/>
              <w:bottom w:val="double" w:sz="6" w:space="0" w:color="auto"/>
              <w:right w:val="nil"/>
            </w:tcBorders>
            <w:shd w:val="clear" w:color="auto" w:fill="auto"/>
            <w:vAlign w:val="bottom"/>
            <w:hideMark/>
          </w:tcPr>
          <w:p w:rsidR="00B71F25" w:rsidRPr="003F0923" w:rsidRDefault="00B71F25" w:rsidP="003F0923">
            <w:pPr>
              <w:autoSpaceDE w:val="0"/>
              <w:autoSpaceDN w:val="0"/>
              <w:adjustRightInd w:val="0"/>
              <w:ind w:right="10"/>
              <w:jc w:val="right"/>
              <w:rPr>
                <w:b/>
                <w:color w:val="000000" w:themeColor="text1"/>
                <w:sz w:val="20"/>
                <w:szCs w:val="20"/>
              </w:rPr>
            </w:pPr>
            <w:r w:rsidRPr="003F0923">
              <w:rPr>
                <w:b/>
                <w:color w:val="000000" w:themeColor="text1"/>
                <w:sz w:val="20"/>
                <w:szCs w:val="20"/>
              </w:rPr>
              <w:t>Coefficient</w:t>
            </w:r>
          </w:p>
        </w:tc>
        <w:tc>
          <w:tcPr>
            <w:tcW w:w="1350" w:type="dxa"/>
            <w:gridSpan w:val="2"/>
            <w:tcBorders>
              <w:top w:val="double" w:sz="6" w:space="0" w:color="auto"/>
              <w:left w:val="nil"/>
              <w:bottom w:val="double" w:sz="6" w:space="0" w:color="auto"/>
              <w:right w:val="nil"/>
            </w:tcBorders>
            <w:shd w:val="clear" w:color="auto" w:fill="auto"/>
            <w:vAlign w:val="bottom"/>
            <w:hideMark/>
          </w:tcPr>
          <w:p w:rsidR="00B71F25" w:rsidRPr="003F0923" w:rsidRDefault="00B71F25" w:rsidP="003F0923">
            <w:pPr>
              <w:autoSpaceDE w:val="0"/>
              <w:autoSpaceDN w:val="0"/>
              <w:adjustRightInd w:val="0"/>
              <w:ind w:right="10"/>
              <w:jc w:val="right"/>
              <w:rPr>
                <w:b/>
                <w:color w:val="000000" w:themeColor="text1"/>
                <w:sz w:val="20"/>
                <w:szCs w:val="20"/>
              </w:rPr>
            </w:pPr>
            <w:r w:rsidRPr="003F0923">
              <w:rPr>
                <w:b/>
                <w:color w:val="000000" w:themeColor="text1"/>
                <w:sz w:val="20"/>
                <w:szCs w:val="20"/>
              </w:rPr>
              <w:t>Std. Error</w:t>
            </w:r>
          </w:p>
        </w:tc>
        <w:tc>
          <w:tcPr>
            <w:tcW w:w="1170" w:type="dxa"/>
            <w:tcBorders>
              <w:top w:val="double" w:sz="6" w:space="0" w:color="auto"/>
              <w:left w:val="nil"/>
              <w:bottom w:val="double" w:sz="6" w:space="0" w:color="auto"/>
              <w:right w:val="nil"/>
            </w:tcBorders>
            <w:shd w:val="clear" w:color="auto" w:fill="auto"/>
            <w:vAlign w:val="bottom"/>
            <w:hideMark/>
          </w:tcPr>
          <w:p w:rsidR="00B71F25" w:rsidRPr="003F0923" w:rsidRDefault="00B71F25" w:rsidP="003F0923">
            <w:pPr>
              <w:autoSpaceDE w:val="0"/>
              <w:autoSpaceDN w:val="0"/>
              <w:adjustRightInd w:val="0"/>
              <w:ind w:right="10"/>
              <w:jc w:val="right"/>
              <w:rPr>
                <w:b/>
                <w:color w:val="000000" w:themeColor="text1"/>
                <w:sz w:val="20"/>
                <w:szCs w:val="20"/>
              </w:rPr>
            </w:pPr>
            <w:r w:rsidRPr="003F0923">
              <w:rPr>
                <w:b/>
                <w:color w:val="000000" w:themeColor="text1"/>
                <w:sz w:val="20"/>
                <w:szCs w:val="20"/>
              </w:rPr>
              <w:t>t-Statistic</w:t>
            </w:r>
          </w:p>
        </w:tc>
        <w:tc>
          <w:tcPr>
            <w:tcW w:w="1076" w:type="dxa"/>
            <w:gridSpan w:val="2"/>
            <w:tcBorders>
              <w:top w:val="double" w:sz="6" w:space="0" w:color="auto"/>
              <w:left w:val="nil"/>
              <w:bottom w:val="double" w:sz="6" w:space="0" w:color="auto"/>
              <w:right w:val="nil"/>
            </w:tcBorders>
            <w:shd w:val="clear" w:color="auto" w:fill="auto"/>
            <w:vAlign w:val="bottom"/>
            <w:hideMark/>
          </w:tcPr>
          <w:p w:rsidR="00B71F25" w:rsidRPr="003F0923" w:rsidRDefault="00B71F25" w:rsidP="003F0923">
            <w:pPr>
              <w:autoSpaceDE w:val="0"/>
              <w:autoSpaceDN w:val="0"/>
              <w:adjustRightInd w:val="0"/>
              <w:ind w:right="10"/>
              <w:jc w:val="right"/>
              <w:rPr>
                <w:b/>
                <w:color w:val="000000" w:themeColor="text1"/>
                <w:sz w:val="20"/>
                <w:szCs w:val="20"/>
              </w:rPr>
            </w:pPr>
            <w:r w:rsidRPr="003F0923">
              <w:rPr>
                <w:b/>
                <w:color w:val="000000" w:themeColor="text1"/>
                <w:sz w:val="20"/>
                <w:szCs w:val="20"/>
              </w:rPr>
              <w:t>Prob.  </w:t>
            </w:r>
          </w:p>
        </w:tc>
      </w:tr>
      <w:tr w:rsidR="006252FD" w:rsidRPr="000B3A8F" w:rsidTr="003F0923">
        <w:trPr>
          <w:gridAfter w:val="1"/>
          <w:wAfter w:w="6" w:type="dxa"/>
          <w:trHeight w:val="128"/>
        </w:trPr>
        <w:tc>
          <w:tcPr>
            <w:tcW w:w="6109" w:type="dxa"/>
            <w:gridSpan w:val="9"/>
            <w:tcBorders>
              <w:top w:val="nil"/>
              <w:left w:val="nil"/>
              <w:bottom w:val="double" w:sz="6" w:space="0" w:color="auto"/>
              <w:right w:val="nil"/>
            </w:tcBorders>
            <w:shd w:val="clear" w:color="auto" w:fill="auto"/>
            <w:vAlign w:val="center"/>
            <w:hideMark/>
          </w:tcPr>
          <w:p w:rsidR="006252FD" w:rsidRPr="003F0923" w:rsidRDefault="00B71F25" w:rsidP="003F0923">
            <w:pPr>
              <w:jc w:val="center"/>
              <w:rPr>
                <w:b/>
                <w:bCs/>
                <w:color w:val="000000" w:themeColor="text1"/>
                <w:sz w:val="20"/>
                <w:szCs w:val="20"/>
              </w:rPr>
            </w:pPr>
            <w:r w:rsidRPr="003F0923">
              <w:rPr>
                <w:b/>
                <w:color w:val="000000" w:themeColor="text1"/>
                <w:sz w:val="20"/>
                <w:szCs w:val="20"/>
              </w:rPr>
              <w:t>Threshold Variables (linear part) G = 0</w:t>
            </w:r>
          </w:p>
        </w:tc>
      </w:tr>
      <w:tr w:rsidR="00DE0C75" w:rsidRPr="000B3A8F" w:rsidTr="003F0923">
        <w:trPr>
          <w:trHeight w:val="128"/>
        </w:trPr>
        <w:tc>
          <w:tcPr>
            <w:tcW w:w="1059" w:type="dxa"/>
            <w:tcBorders>
              <w:top w:val="nil"/>
              <w:left w:val="nil"/>
              <w:bottom w:val="nil"/>
              <w:right w:val="nil"/>
            </w:tcBorders>
            <w:shd w:val="clear" w:color="auto" w:fill="auto"/>
            <w:vAlign w:val="center"/>
            <w:hideMark/>
          </w:tcPr>
          <w:p w:rsidR="00DE0C75" w:rsidRPr="003F0923" w:rsidRDefault="00DE0C75" w:rsidP="003F0923">
            <w:pPr>
              <w:contextualSpacing/>
              <w:jc w:val="center"/>
              <w:rPr>
                <w:color w:val="000000" w:themeColor="text1"/>
                <w:sz w:val="20"/>
                <w:szCs w:val="20"/>
              </w:rPr>
            </w:pPr>
            <w:r w:rsidRPr="003F0923">
              <w:rPr>
                <w:color w:val="000000" w:themeColor="text1"/>
                <w:sz w:val="20"/>
                <w:szCs w:val="20"/>
              </w:rPr>
              <w:t>c</w:t>
            </w:r>
          </w:p>
        </w:tc>
        <w:tc>
          <w:tcPr>
            <w:tcW w:w="1460" w:type="dxa"/>
            <w:gridSpan w:val="4"/>
            <w:tcBorders>
              <w:top w:val="nil"/>
              <w:left w:val="nil"/>
              <w:bottom w:val="nil"/>
              <w:right w:val="nil"/>
            </w:tcBorders>
            <w:shd w:val="clear" w:color="auto" w:fill="auto"/>
            <w:vAlign w:val="bottom"/>
            <w:hideMark/>
          </w:tcPr>
          <w:p w:rsidR="00DE0C75" w:rsidRPr="003F0923" w:rsidRDefault="00DE0C75" w:rsidP="003F0923">
            <w:pPr>
              <w:contextualSpacing/>
              <w:jc w:val="right"/>
              <w:rPr>
                <w:color w:val="000000" w:themeColor="text1"/>
                <w:sz w:val="20"/>
                <w:szCs w:val="20"/>
              </w:rPr>
            </w:pPr>
            <w:r w:rsidRPr="003F0923">
              <w:rPr>
                <w:color w:val="000000"/>
                <w:sz w:val="20"/>
                <w:szCs w:val="20"/>
              </w:rPr>
              <w:t>0,145</w:t>
            </w:r>
          </w:p>
        </w:tc>
        <w:tc>
          <w:tcPr>
            <w:tcW w:w="1350" w:type="dxa"/>
            <w:gridSpan w:val="2"/>
            <w:tcBorders>
              <w:top w:val="nil"/>
              <w:left w:val="nil"/>
              <w:bottom w:val="nil"/>
              <w:right w:val="nil"/>
            </w:tcBorders>
            <w:shd w:val="clear" w:color="auto" w:fill="auto"/>
            <w:vAlign w:val="bottom"/>
            <w:hideMark/>
          </w:tcPr>
          <w:p w:rsidR="00DE0C75" w:rsidRPr="003F0923" w:rsidRDefault="00DE0C75" w:rsidP="003F0923">
            <w:pPr>
              <w:contextualSpacing/>
              <w:jc w:val="right"/>
              <w:rPr>
                <w:color w:val="000000" w:themeColor="text1"/>
                <w:sz w:val="20"/>
                <w:szCs w:val="20"/>
              </w:rPr>
            </w:pPr>
            <w:r w:rsidRPr="003F0923">
              <w:rPr>
                <w:color w:val="000000"/>
                <w:sz w:val="20"/>
                <w:szCs w:val="20"/>
              </w:rPr>
              <w:t>0,042</w:t>
            </w:r>
          </w:p>
        </w:tc>
        <w:tc>
          <w:tcPr>
            <w:tcW w:w="1170" w:type="dxa"/>
            <w:tcBorders>
              <w:top w:val="nil"/>
              <w:left w:val="nil"/>
              <w:bottom w:val="nil"/>
              <w:right w:val="nil"/>
            </w:tcBorders>
            <w:shd w:val="clear" w:color="auto" w:fill="auto"/>
            <w:vAlign w:val="bottom"/>
            <w:hideMark/>
          </w:tcPr>
          <w:p w:rsidR="00DE0C75" w:rsidRPr="003F0923" w:rsidRDefault="00DE0C75" w:rsidP="003F0923">
            <w:pPr>
              <w:contextualSpacing/>
              <w:jc w:val="right"/>
              <w:rPr>
                <w:color w:val="000000" w:themeColor="text1"/>
                <w:sz w:val="20"/>
                <w:szCs w:val="20"/>
              </w:rPr>
            </w:pPr>
            <w:r w:rsidRPr="003F0923">
              <w:rPr>
                <w:color w:val="000000"/>
                <w:sz w:val="20"/>
                <w:szCs w:val="20"/>
              </w:rPr>
              <w:t>3,481</w:t>
            </w:r>
          </w:p>
        </w:tc>
        <w:tc>
          <w:tcPr>
            <w:tcW w:w="1076" w:type="dxa"/>
            <w:gridSpan w:val="2"/>
            <w:tcBorders>
              <w:top w:val="nil"/>
              <w:left w:val="nil"/>
              <w:bottom w:val="nil"/>
              <w:right w:val="nil"/>
            </w:tcBorders>
            <w:shd w:val="clear" w:color="auto" w:fill="auto"/>
            <w:vAlign w:val="bottom"/>
            <w:hideMark/>
          </w:tcPr>
          <w:p w:rsidR="00DE0C75" w:rsidRPr="003F0923" w:rsidRDefault="00DE0C75" w:rsidP="003F0923">
            <w:pPr>
              <w:contextualSpacing/>
              <w:jc w:val="right"/>
              <w:rPr>
                <w:color w:val="000000" w:themeColor="text1"/>
                <w:sz w:val="20"/>
                <w:szCs w:val="20"/>
              </w:rPr>
            </w:pPr>
            <w:r w:rsidRPr="003F0923">
              <w:rPr>
                <w:color w:val="000000"/>
                <w:sz w:val="20"/>
                <w:szCs w:val="20"/>
              </w:rPr>
              <w:t>0,001</w:t>
            </w:r>
          </w:p>
        </w:tc>
      </w:tr>
      <w:tr w:rsidR="00DE0C75" w:rsidRPr="000B3A8F" w:rsidTr="003F0923">
        <w:trPr>
          <w:trHeight w:val="122"/>
        </w:trPr>
        <w:tc>
          <w:tcPr>
            <w:tcW w:w="1059" w:type="dxa"/>
            <w:tcBorders>
              <w:top w:val="nil"/>
              <w:left w:val="nil"/>
              <w:bottom w:val="nil"/>
              <w:right w:val="nil"/>
            </w:tcBorders>
            <w:shd w:val="clear" w:color="auto" w:fill="auto"/>
            <w:vAlign w:val="center"/>
            <w:hideMark/>
          </w:tcPr>
          <w:p w:rsidR="00DE0C75" w:rsidRPr="003F0923" w:rsidRDefault="00DE0C75" w:rsidP="003F0923">
            <w:pPr>
              <w:contextualSpacing/>
              <w:jc w:val="center"/>
              <w:rPr>
                <w:color w:val="000000" w:themeColor="text1"/>
                <w:sz w:val="20"/>
                <w:szCs w:val="20"/>
              </w:rPr>
            </w:pPr>
            <w:r w:rsidRPr="003F0923">
              <w:rPr>
                <w:color w:val="000000" w:themeColor="text1"/>
                <w:sz w:val="20"/>
                <w:szCs w:val="20"/>
              </w:rPr>
              <w:t>er</w:t>
            </w:r>
          </w:p>
        </w:tc>
        <w:tc>
          <w:tcPr>
            <w:tcW w:w="1460" w:type="dxa"/>
            <w:gridSpan w:val="4"/>
            <w:tcBorders>
              <w:top w:val="nil"/>
              <w:left w:val="nil"/>
              <w:bottom w:val="nil"/>
              <w:right w:val="nil"/>
            </w:tcBorders>
            <w:shd w:val="clear" w:color="auto" w:fill="auto"/>
            <w:vAlign w:val="bottom"/>
            <w:hideMark/>
          </w:tcPr>
          <w:p w:rsidR="00DE0C75" w:rsidRPr="003F0923" w:rsidRDefault="00DE0C75" w:rsidP="003F0923">
            <w:pPr>
              <w:contextualSpacing/>
              <w:jc w:val="right"/>
              <w:rPr>
                <w:color w:val="000000" w:themeColor="text1"/>
                <w:sz w:val="20"/>
                <w:szCs w:val="20"/>
              </w:rPr>
            </w:pPr>
            <w:r w:rsidRPr="003F0923">
              <w:rPr>
                <w:color w:val="000000"/>
                <w:sz w:val="20"/>
                <w:szCs w:val="20"/>
              </w:rPr>
              <w:t>0,010</w:t>
            </w:r>
          </w:p>
        </w:tc>
        <w:tc>
          <w:tcPr>
            <w:tcW w:w="1350" w:type="dxa"/>
            <w:gridSpan w:val="2"/>
            <w:tcBorders>
              <w:top w:val="nil"/>
              <w:left w:val="nil"/>
              <w:bottom w:val="nil"/>
              <w:right w:val="nil"/>
            </w:tcBorders>
            <w:shd w:val="clear" w:color="auto" w:fill="auto"/>
            <w:vAlign w:val="bottom"/>
            <w:hideMark/>
          </w:tcPr>
          <w:p w:rsidR="00DE0C75" w:rsidRPr="003F0923" w:rsidRDefault="00DE0C75" w:rsidP="003F0923">
            <w:pPr>
              <w:contextualSpacing/>
              <w:jc w:val="right"/>
              <w:rPr>
                <w:color w:val="000000" w:themeColor="text1"/>
                <w:sz w:val="20"/>
                <w:szCs w:val="20"/>
              </w:rPr>
            </w:pPr>
            <w:r w:rsidRPr="003F0923">
              <w:rPr>
                <w:color w:val="000000"/>
                <w:sz w:val="20"/>
                <w:szCs w:val="20"/>
              </w:rPr>
              <w:t>0,054</w:t>
            </w:r>
          </w:p>
        </w:tc>
        <w:tc>
          <w:tcPr>
            <w:tcW w:w="1170" w:type="dxa"/>
            <w:tcBorders>
              <w:top w:val="nil"/>
              <w:left w:val="nil"/>
              <w:bottom w:val="nil"/>
              <w:right w:val="nil"/>
            </w:tcBorders>
            <w:shd w:val="clear" w:color="auto" w:fill="auto"/>
            <w:vAlign w:val="bottom"/>
            <w:hideMark/>
          </w:tcPr>
          <w:p w:rsidR="00DE0C75" w:rsidRPr="003F0923" w:rsidRDefault="00DE0C75" w:rsidP="003F0923">
            <w:pPr>
              <w:contextualSpacing/>
              <w:jc w:val="right"/>
              <w:rPr>
                <w:color w:val="000000" w:themeColor="text1"/>
                <w:sz w:val="20"/>
                <w:szCs w:val="20"/>
              </w:rPr>
            </w:pPr>
            <w:r w:rsidRPr="003F0923">
              <w:rPr>
                <w:color w:val="000000"/>
                <w:sz w:val="20"/>
                <w:szCs w:val="20"/>
              </w:rPr>
              <w:t>0,183</w:t>
            </w:r>
          </w:p>
        </w:tc>
        <w:tc>
          <w:tcPr>
            <w:tcW w:w="1076" w:type="dxa"/>
            <w:gridSpan w:val="2"/>
            <w:tcBorders>
              <w:top w:val="nil"/>
              <w:left w:val="nil"/>
              <w:bottom w:val="nil"/>
              <w:right w:val="nil"/>
            </w:tcBorders>
            <w:shd w:val="clear" w:color="auto" w:fill="auto"/>
            <w:vAlign w:val="bottom"/>
            <w:hideMark/>
          </w:tcPr>
          <w:p w:rsidR="00DE0C75" w:rsidRPr="003F0923" w:rsidRDefault="00DE0C75" w:rsidP="003F0923">
            <w:pPr>
              <w:contextualSpacing/>
              <w:jc w:val="right"/>
              <w:rPr>
                <w:color w:val="000000" w:themeColor="text1"/>
                <w:sz w:val="20"/>
                <w:szCs w:val="20"/>
              </w:rPr>
            </w:pPr>
            <w:r w:rsidRPr="003F0923">
              <w:rPr>
                <w:color w:val="000000"/>
                <w:sz w:val="20"/>
                <w:szCs w:val="20"/>
              </w:rPr>
              <w:t>0,855</w:t>
            </w:r>
          </w:p>
        </w:tc>
      </w:tr>
      <w:tr w:rsidR="00DE0C75" w:rsidRPr="000B3A8F" w:rsidTr="003F0923">
        <w:trPr>
          <w:trHeight w:val="122"/>
        </w:trPr>
        <w:tc>
          <w:tcPr>
            <w:tcW w:w="1059" w:type="dxa"/>
            <w:tcBorders>
              <w:top w:val="nil"/>
              <w:left w:val="nil"/>
              <w:bottom w:val="nil"/>
              <w:right w:val="nil"/>
            </w:tcBorders>
            <w:shd w:val="clear" w:color="auto" w:fill="auto"/>
            <w:vAlign w:val="center"/>
          </w:tcPr>
          <w:p w:rsidR="00DE0C75" w:rsidRPr="003F0923" w:rsidRDefault="00DE0C75" w:rsidP="003F0923">
            <w:pPr>
              <w:contextualSpacing/>
              <w:jc w:val="center"/>
              <w:rPr>
                <w:color w:val="000000" w:themeColor="text1"/>
                <w:sz w:val="20"/>
                <w:szCs w:val="20"/>
              </w:rPr>
            </w:pPr>
            <w:bookmarkStart w:id="78" w:name="_Hlk53140704"/>
            <w:r w:rsidRPr="003F0923">
              <w:rPr>
                <w:color w:val="000000" w:themeColor="text1"/>
                <w:sz w:val="20"/>
                <w:szCs w:val="20"/>
              </w:rPr>
              <w:t>er (-1)</w:t>
            </w:r>
          </w:p>
        </w:tc>
        <w:tc>
          <w:tcPr>
            <w:tcW w:w="1460" w:type="dxa"/>
            <w:gridSpan w:val="4"/>
            <w:tcBorders>
              <w:top w:val="nil"/>
              <w:left w:val="nil"/>
              <w:bottom w:val="nil"/>
              <w:right w:val="nil"/>
            </w:tcBorders>
            <w:shd w:val="clear" w:color="auto" w:fill="auto"/>
            <w:vAlign w:val="bottom"/>
          </w:tcPr>
          <w:p w:rsidR="00DE0C75" w:rsidRPr="003F0923" w:rsidRDefault="00DE0C75" w:rsidP="003F0923">
            <w:pPr>
              <w:contextualSpacing/>
              <w:jc w:val="right"/>
              <w:rPr>
                <w:color w:val="000000" w:themeColor="text1"/>
                <w:sz w:val="20"/>
                <w:szCs w:val="20"/>
              </w:rPr>
            </w:pPr>
            <w:r w:rsidRPr="003F0923">
              <w:rPr>
                <w:color w:val="000000"/>
                <w:sz w:val="20"/>
                <w:szCs w:val="20"/>
              </w:rPr>
              <w:t>-0,065</w:t>
            </w:r>
          </w:p>
        </w:tc>
        <w:tc>
          <w:tcPr>
            <w:tcW w:w="1350" w:type="dxa"/>
            <w:gridSpan w:val="2"/>
            <w:tcBorders>
              <w:top w:val="nil"/>
              <w:left w:val="nil"/>
              <w:bottom w:val="nil"/>
              <w:right w:val="nil"/>
            </w:tcBorders>
            <w:shd w:val="clear" w:color="auto" w:fill="auto"/>
            <w:vAlign w:val="bottom"/>
          </w:tcPr>
          <w:p w:rsidR="00DE0C75" w:rsidRPr="003F0923" w:rsidRDefault="00DE0C75" w:rsidP="003F0923">
            <w:pPr>
              <w:contextualSpacing/>
              <w:jc w:val="right"/>
              <w:rPr>
                <w:color w:val="000000" w:themeColor="text1"/>
                <w:sz w:val="20"/>
                <w:szCs w:val="20"/>
              </w:rPr>
            </w:pPr>
            <w:r w:rsidRPr="003F0923">
              <w:rPr>
                <w:color w:val="000000"/>
                <w:sz w:val="20"/>
                <w:szCs w:val="20"/>
              </w:rPr>
              <w:t>0,054</w:t>
            </w:r>
          </w:p>
        </w:tc>
        <w:tc>
          <w:tcPr>
            <w:tcW w:w="1170" w:type="dxa"/>
            <w:tcBorders>
              <w:top w:val="nil"/>
              <w:left w:val="nil"/>
              <w:bottom w:val="nil"/>
              <w:right w:val="nil"/>
            </w:tcBorders>
            <w:shd w:val="clear" w:color="auto" w:fill="auto"/>
            <w:vAlign w:val="bottom"/>
          </w:tcPr>
          <w:p w:rsidR="00DE0C75" w:rsidRPr="003F0923" w:rsidRDefault="00DE0C75" w:rsidP="003F0923">
            <w:pPr>
              <w:contextualSpacing/>
              <w:jc w:val="right"/>
              <w:rPr>
                <w:color w:val="000000" w:themeColor="text1"/>
                <w:sz w:val="20"/>
                <w:szCs w:val="20"/>
              </w:rPr>
            </w:pPr>
            <w:r w:rsidRPr="003F0923">
              <w:rPr>
                <w:color w:val="000000"/>
                <w:sz w:val="20"/>
                <w:szCs w:val="20"/>
              </w:rPr>
              <w:t>-1,198</w:t>
            </w:r>
          </w:p>
        </w:tc>
        <w:tc>
          <w:tcPr>
            <w:tcW w:w="1076" w:type="dxa"/>
            <w:gridSpan w:val="2"/>
            <w:tcBorders>
              <w:top w:val="nil"/>
              <w:left w:val="nil"/>
              <w:bottom w:val="nil"/>
              <w:right w:val="nil"/>
            </w:tcBorders>
            <w:shd w:val="clear" w:color="auto" w:fill="auto"/>
            <w:vAlign w:val="bottom"/>
          </w:tcPr>
          <w:p w:rsidR="00DE0C75" w:rsidRPr="003F0923" w:rsidRDefault="00DE0C75" w:rsidP="003F0923">
            <w:pPr>
              <w:contextualSpacing/>
              <w:jc w:val="right"/>
              <w:rPr>
                <w:color w:val="000000" w:themeColor="text1"/>
                <w:sz w:val="20"/>
                <w:szCs w:val="20"/>
              </w:rPr>
            </w:pPr>
            <w:r w:rsidRPr="003F0923">
              <w:rPr>
                <w:color w:val="000000"/>
                <w:sz w:val="20"/>
                <w:szCs w:val="20"/>
              </w:rPr>
              <w:t>0,233</w:t>
            </w:r>
          </w:p>
        </w:tc>
      </w:tr>
      <w:tr w:rsidR="00DE0C75" w:rsidRPr="000B3A8F" w:rsidTr="003F0923">
        <w:trPr>
          <w:trHeight w:val="128"/>
        </w:trPr>
        <w:tc>
          <w:tcPr>
            <w:tcW w:w="1059" w:type="dxa"/>
            <w:tcBorders>
              <w:top w:val="nil"/>
              <w:left w:val="nil"/>
              <w:bottom w:val="double" w:sz="6" w:space="0" w:color="auto"/>
              <w:right w:val="nil"/>
            </w:tcBorders>
            <w:shd w:val="clear" w:color="auto" w:fill="auto"/>
            <w:vAlign w:val="center"/>
            <w:hideMark/>
          </w:tcPr>
          <w:p w:rsidR="00DE0C75" w:rsidRPr="003F0923" w:rsidRDefault="00DE0C75" w:rsidP="003F0923">
            <w:pPr>
              <w:contextualSpacing/>
              <w:jc w:val="center"/>
              <w:rPr>
                <w:color w:val="000000" w:themeColor="text1"/>
                <w:sz w:val="20"/>
                <w:szCs w:val="20"/>
              </w:rPr>
            </w:pPr>
            <w:r w:rsidRPr="003F0923">
              <w:rPr>
                <w:color w:val="000000" w:themeColor="text1"/>
                <w:sz w:val="20"/>
                <w:szCs w:val="20"/>
              </w:rPr>
              <w:t>er (-2)</w:t>
            </w:r>
          </w:p>
        </w:tc>
        <w:tc>
          <w:tcPr>
            <w:tcW w:w="1460" w:type="dxa"/>
            <w:gridSpan w:val="4"/>
            <w:tcBorders>
              <w:top w:val="nil"/>
              <w:left w:val="nil"/>
              <w:bottom w:val="double" w:sz="6" w:space="0" w:color="auto"/>
              <w:right w:val="nil"/>
            </w:tcBorders>
            <w:shd w:val="clear" w:color="auto" w:fill="auto"/>
            <w:vAlign w:val="bottom"/>
            <w:hideMark/>
          </w:tcPr>
          <w:p w:rsidR="00DE0C75" w:rsidRPr="003F0923" w:rsidRDefault="00DE0C75" w:rsidP="003F0923">
            <w:pPr>
              <w:contextualSpacing/>
              <w:jc w:val="right"/>
              <w:rPr>
                <w:color w:val="000000" w:themeColor="text1"/>
                <w:sz w:val="20"/>
                <w:szCs w:val="20"/>
              </w:rPr>
            </w:pPr>
            <w:r w:rsidRPr="003F0923">
              <w:rPr>
                <w:color w:val="000000"/>
                <w:sz w:val="20"/>
                <w:szCs w:val="20"/>
              </w:rPr>
              <w:t>-0,060</w:t>
            </w:r>
          </w:p>
        </w:tc>
        <w:tc>
          <w:tcPr>
            <w:tcW w:w="1350" w:type="dxa"/>
            <w:gridSpan w:val="2"/>
            <w:tcBorders>
              <w:top w:val="nil"/>
              <w:left w:val="nil"/>
              <w:bottom w:val="double" w:sz="6" w:space="0" w:color="auto"/>
              <w:right w:val="nil"/>
            </w:tcBorders>
            <w:shd w:val="clear" w:color="auto" w:fill="auto"/>
            <w:vAlign w:val="bottom"/>
            <w:hideMark/>
          </w:tcPr>
          <w:p w:rsidR="00DE0C75" w:rsidRPr="003F0923" w:rsidRDefault="00DE0C75" w:rsidP="003F0923">
            <w:pPr>
              <w:contextualSpacing/>
              <w:jc w:val="right"/>
              <w:rPr>
                <w:color w:val="000000" w:themeColor="text1"/>
                <w:sz w:val="20"/>
                <w:szCs w:val="20"/>
              </w:rPr>
            </w:pPr>
            <w:r w:rsidRPr="003F0923">
              <w:rPr>
                <w:color w:val="000000"/>
                <w:sz w:val="20"/>
                <w:szCs w:val="20"/>
              </w:rPr>
              <w:t>0,050</w:t>
            </w:r>
          </w:p>
        </w:tc>
        <w:tc>
          <w:tcPr>
            <w:tcW w:w="1170" w:type="dxa"/>
            <w:tcBorders>
              <w:top w:val="nil"/>
              <w:left w:val="nil"/>
              <w:bottom w:val="double" w:sz="6" w:space="0" w:color="auto"/>
              <w:right w:val="nil"/>
            </w:tcBorders>
            <w:shd w:val="clear" w:color="auto" w:fill="auto"/>
            <w:vAlign w:val="bottom"/>
            <w:hideMark/>
          </w:tcPr>
          <w:p w:rsidR="00DE0C75" w:rsidRPr="003F0923" w:rsidRDefault="00DE0C75" w:rsidP="003F0923">
            <w:pPr>
              <w:contextualSpacing/>
              <w:jc w:val="right"/>
              <w:rPr>
                <w:color w:val="000000" w:themeColor="text1"/>
                <w:sz w:val="20"/>
                <w:szCs w:val="20"/>
              </w:rPr>
            </w:pPr>
            <w:r w:rsidRPr="003F0923">
              <w:rPr>
                <w:color w:val="000000"/>
                <w:sz w:val="20"/>
                <w:szCs w:val="20"/>
              </w:rPr>
              <w:t>-1,201</w:t>
            </w:r>
          </w:p>
        </w:tc>
        <w:tc>
          <w:tcPr>
            <w:tcW w:w="1076" w:type="dxa"/>
            <w:gridSpan w:val="2"/>
            <w:tcBorders>
              <w:top w:val="nil"/>
              <w:left w:val="nil"/>
              <w:bottom w:val="double" w:sz="6" w:space="0" w:color="auto"/>
              <w:right w:val="nil"/>
            </w:tcBorders>
            <w:shd w:val="clear" w:color="auto" w:fill="auto"/>
            <w:vAlign w:val="bottom"/>
            <w:hideMark/>
          </w:tcPr>
          <w:p w:rsidR="00DE0C75" w:rsidRPr="003F0923" w:rsidRDefault="00DE0C75" w:rsidP="003F0923">
            <w:pPr>
              <w:contextualSpacing/>
              <w:jc w:val="right"/>
              <w:rPr>
                <w:color w:val="000000" w:themeColor="text1"/>
                <w:sz w:val="20"/>
                <w:szCs w:val="20"/>
              </w:rPr>
            </w:pPr>
            <w:r w:rsidRPr="003F0923">
              <w:rPr>
                <w:color w:val="000000"/>
                <w:sz w:val="20"/>
                <w:szCs w:val="20"/>
              </w:rPr>
              <w:t>0,231</w:t>
            </w:r>
          </w:p>
        </w:tc>
      </w:tr>
      <w:bookmarkEnd w:id="78"/>
      <w:tr w:rsidR="006252FD" w:rsidRPr="000B3A8F" w:rsidTr="003F0923">
        <w:trPr>
          <w:gridAfter w:val="1"/>
          <w:wAfter w:w="6" w:type="dxa"/>
          <w:trHeight w:val="122"/>
        </w:trPr>
        <w:tc>
          <w:tcPr>
            <w:tcW w:w="6109" w:type="dxa"/>
            <w:gridSpan w:val="9"/>
            <w:tcBorders>
              <w:top w:val="nil"/>
              <w:left w:val="nil"/>
              <w:bottom w:val="double" w:sz="6" w:space="0" w:color="auto"/>
              <w:right w:val="nil"/>
            </w:tcBorders>
            <w:shd w:val="clear" w:color="auto" w:fill="auto"/>
            <w:vAlign w:val="center"/>
            <w:hideMark/>
          </w:tcPr>
          <w:p w:rsidR="006252FD" w:rsidRPr="003F0923" w:rsidRDefault="006949E5" w:rsidP="003F0923">
            <w:pPr>
              <w:jc w:val="center"/>
              <w:rPr>
                <w:b/>
                <w:bCs/>
                <w:color w:val="000000" w:themeColor="text1"/>
                <w:sz w:val="20"/>
                <w:szCs w:val="20"/>
              </w:rPr>
            </w:pPr>
            <w:r w:rsidRPr="003F0923">
              <w:rPr>
                <w:b/>
                <w:color w:val="000000" w:themeColor="text1"/>
                <w:sz w:val="20"/>
                <w:szCs w:val="20"/>
              </w:rPr>
              <w:t>Threshold Variables (nonlinear part) G = 1</w:t>
            </w:r>
          </w:p>
        </w:tc>
      </w:tr>
      <w:tr w:rsidR="00DE0C75" w:rsidRPr="000B3A8F" w:rsidTr="003F0923">
        <w:trPr>
          <w:trHeight w:val="128"/>
        </w:trPr>
        <w:tc>
          <w:tcPr>
            <w:tcW w:w="1059" w:type="dxa"/>
            <w:tcBorders>
              <w:top w:val="nil"/>
              <w:left w:val="nil"/>
              <w:bottom w:val="nil"/>
              <w:right w:val="nil"/>
            </w:tcBorders>
            <w:shd w:val="clear" w:color="auto" w:fill="auto"/>
            <w:vAlign w:val="center"/>
            <w:hideMark/>
          </w:tcPr>
          <w:p w:rsidR="00DE0C75" w:rsidRPr="003F0923" w:rsidRDefault="00DE0C75" w:rsidP="003F0923">
            <w:pPr>
              <w:jc w:val="center"/>
              <w:rPr>
                <w:color w:val="000000" w:themeColor="text1"/>
                <w:sz w:val="20"/>
                <w:szCs w:val="20"/>
              </w:rPr>
            </w:pPr>
            <w:r w:rsidRPr="003F0923">
              <w:rPr>
                <w:color w:val="000000" w:themeColor="text1"/>
                <w:sz w:val="20"/>
                <w:szCs w:val="20"/>
              </w:rPr>
              <w:t>c</w:t>
            </w:r>
          </w:p>
        </w:tc>
        <w:tc>
          <w:tcPr>
            <w:tcW w:w="1460" w:type="dxa"/>
            <w:gridSpan w:val="4"/>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-0,248</w:t>
            </w:r>
          </w:p>
        </w:tc>
        <w:tc>
          <w:tcPr>
            <w:tcW w:w="1350"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0,135</w:t>
            </w:r>
          </w:p>
        </w:tc>
        <w:tc>
          <w:tcPr>
            <w:tcW w:w="1170" w:type="dxa"/>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-1,842</w:t>
            </w:r>
          </w:p>
        </w:tc>
        <w:tc>
          <w:tcPr>
            <w:tcW w:w="1076"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0,067</w:t>
            </w:r>
          </w:p>
        </w:tc>
      </w:tr>
      <w:tr w:rsidR="00DE0C75" w:rsidRPr="000B3A8F" w:rsidTr="003F0923">
        <w:trPr>
          <w:trHeight w:val="122"/>
        </w:trPr>
        <w:tc>
          <w:tcPr>
            <w:tcW w:w="1059" w:type="dxa"/>
            <w:tcBorders>
              <w:top w:val="nil"/>
              <w:left w:val="nil"/>
              <w:bottom w:val="nil"/>
              <w:right w:val="nil"/>
            </w:tcBorders>
            <w:shd w:val="clear" w:color="auto" w:fill="auto"/>
            <w:vAlign w:val="center"/>
            <w:hideMark/>
          </w:tcPr>
          <w:p w:rsidR="00DE0C75" w:rsidRPr="003F0923" w:rsidRDefault="00DE0C75" w:rsidP="003F0923">
            <w:pPr>
              <w:jc w:val="center"/>
              <w:rPr>
                <w:color w:val="000000" w:themeColor="text1"/>
                <w:sz w:val="20"/>
                <w:szCs w:val="20"/>
              </w:rPr>
            </w:pPr>
            <w:r w:rsidRPr="003F0923">
              <w:rPr>
                <w:color w:val="000000" w:themeColor="text1"/>
                <w:sz w:val="20"/>
                <w:szCs w:val="20"/>
              </w:rPr>
              <w:t>er</w:t>
            </w:r>
          </w:p>
        </w:tc>
        <w:tc>
          <w:tcPr>
            <w:tcW w:w="1460" w:type="dxa"/>
            <w:gridSpan w:val="4"/>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0,090</w:t>
            </w:r>
          </w:p>
        </w:tc>
        <w:tc>
          <w:tcPr>
            <w:tcW w:w="1350"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0,076</w:t>
            </w:r>
          </w:p>
        </w:tc>
        <w:tc>
          <w:tcPr>
            <w:tcW w:w="1170" w:type="dxa"/>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1,185</w:t>
            </w:r>
          </w:p>
        </w:tc>
        <w:tc>
          <w:tcPr>
            <w:tcW w:w="1076"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0,238</w:t>
            </w:r>
          </w:p>
        </w:tc>
      </w:tr>
      <w:tr w:rsidR="00DE0C75" w:rsidRPr="000B3A8F" w:rsidTr="003F0923">
        <w:trPr>
          <w:trHeight w:val="122"/>
        </w:trPr>
        <w:tc>
          <w:tcPr>
            <w:tcW w:w="1059" w:type="dxa"/>
            <w:tcBorders>
              <w:top w:val="nil"/>
              <w:left w:val="nil"/>
              <w:bottom w:val="nil"/>
              <w:right w:val="nil"/>
            </w:tcBorders>
            <w:shd w:val="clear" w:color="auto" w:fill="auto"/>
            <w:vAlign w:val="center"/>
          </w:tcPr>
          <w:p w:rsidR="00DE0C75" w:rsidRPr="003F0923" w:rsidRDefault="00DE0C75" w:rsidP="003F0923">
            <w:pPr>
              <w:jc w:val="center"/>
              <w:rPr>
                <w:color w:val="000000" w:themeColor="text1"/>
                <w:sz w:val="20"/>
                <w:szCs w:val="20"/>
              </w:rPr>
            </w:pPr>
            <w:r w:rsidRPr="003F0923">
              <w:rPr>
                <w:color w:val="000000" w:themeColor="text1"/>
                <w:sz w:val="20"/>
                <w:szCs w:val="20"/>
              </w:rPr>
              <w:t>er (-1)</w:t>
            </w:r>
          </w:p>
        </w:tc>
        <w:tc>
          <w:tcPr>
            <w:tcW w:w="1460" w:type="dxa"/>
            <w:gridSpan w:val="4"/>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0,317</w:t>
            </w:r>
          </w:p>
        </w:tc>
        <w:tc>
          <w:tcPr>
            <w:tcW w:w="1350" w:type="dxa"/>
            <w:gridSpan w:val="2"/>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0,075</w:t>
            </w:r>
          </w:p>
        </w:tc>
        <w:tc>
          <w:tcPr>
            <w:tcW w:w="1170" w:type="dxa"/>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4,240</w:t>
            </w:r>
          </w:p>
        </w:tc>
        <w:tc>
          <w:tcPr>
            <w:tcW w:w="1076" w:type="dxa"/>
            <w:gridSpan w:val="2"/>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0,000</w:t>
            </w:r>
          </w:p>
        </w:tc>
      </w:tr>
      <w:tr w:rsidR="00DE0C75" w:rsidRPr="000B3A8F" w:rsidTr="003F0923">
        <w:trPr>
          <w:trHeight w:val="128"/>
        </w:trPr>
        <w:tc>
          <w:tcPr>
            <w:tcW w:w="1059" w:type="dxa"/>
            <w:tcBorders>
              <w:top w:val="nil"/>
              <w:left w:val="nil"/>
              <w:bottom w:val="double" w:sz="6" w:space="0" w:color="auto"/>
              <w:right w:val="nil"/>
            </w:tcBorders>
            <w:shd w:val="clear" w:color="auto" w:fill="auto"/>
            <w:vAlign w:val="center"/>
            <w:hideMark/>
          </w:tcPr>
          <w:p w:rsidR="00DE0C75" w:rsidRPr="003F0923" w:rsidRDefault="00DE0C75" w:rsidP="003F0923">
            <w:pPr>
              <w:jc w:val="center"/>
              <w:rPr>
                <w:color w:val="000000" w:themeColor="text1"/>
                <w:sz w:val="20"/>
                <w:szCs w:val="20"/>
              </w:rPr>
            </w:pPr>
            <w:r w:rsidRPr="003F0923">
              <w:rPr>
                <w:color w:val="000000" w:themeColor="text1"/>
                <w:sz w:val="20"/>
                <w:szCs w:val="20"/>
              </w:rPr>
              <w:t>er (-2)</w:t>
            </w:r>
          </w:p>
        </w:tc>
        <w:tc>
          <w:tcPr>
            <w:tcW w:w="1460" w:type="dxa"/>
            <w:gridSpan w:val="4"/>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0,041</w:t>
            </w:r>
          </w:p>
        </w:tc>
        <w:tc>
          <w:tcPr>
            <w:tcW w:w="1350" w:type="dxa"/>
            <w:gridSpan w:val="2"/>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0,077</w:t>
            </w:r>
          </w:p>
        </w:tc>
        <w:tc>
          <w:tcPr>
            <w:tcW w:w="1170" w:type="dxa"/>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0,540</w:t>
            </w:r>
          </w:p>
        </w:tc>
        <w:tc>
          <w:tcPr>
            <w:tcW w:w="1076" w:type="dxa"/>
            <w:gridSpan w:val="2"/>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0,590</w:t>
            </w:r>
          </w:p>
        </w:tc>
      </w:tr>
      <w:tr w:rsidR="006252FD" w:rsidRPr="000B3A8F" w:rsidTr="003F0923">
        <w:trPr>
          <w:gridAfter w:val="1"/>
          <w:wAfter w:w="6" w:type="dxa"/>
          <w:trHeight w:val="122"/>
        </w:trPr>
        <w:tc>
          <w:tcPr>
            <w:tcW w:w="6109" w:type="dxa"/>
            <w:gridSpan w:val="9"/>
            <w:tcBorders>
              <w:top w:val="nil"/>
              <w:left w:val="nil"/>
              <w:bottom w:val="double" w:sz="6" w:space="0" w:color="auto"/>
              <w:right w:val="nil"/>
            </w:tcBorders>
            <w:shd w:val="clear" w:color="auto" w:fill="auto"/>
            <w:vAlign w:val="center"/>
            <w:hideMark/>
          </w:tcPr>
          <w:p w:rsidR="006252FD" w:rsidRPr="003F0923" w:rsidRDefault="006949E5" w:rsidP="003F0923">
            <w:pPr>
              <w:jc w:val="center"/>
              <w:rPr>
                <w:b/>
                <w:bCs/>
                <w:color w:val="000000" w:themeColor="text1"/>
                <w:sz w:val="20"/>
                <w:szCs w:val="20"/>
              </w:rPr>
            </w:pPr>
            <w:r w:rsidRPr="003F0923">
              <w:rPr>
                <w:b/>
                <w:color w:val="000000" w:themeColor="text1"/>
                <w:sz w:val="20"/>
                <w:szCs w:val="20"/>
              </w:rPr>
              <w:t>Non-Threshold Variables</w:t>
            </w:r>
          </w:p>
        </w:tc>
      </w:tr>
      <w:tr w:rsidR="00DE0C75" w:rsidRPr="000B3A8F" w:rsidTr="003F0923">
        <w:trPr>
          <w:trHeight w:val="128"/>
        </w:trPr>
        <w:tc>
          <w:tcPr>
            <w:tcW w:w="1059" w:type="dxa"/>
            <w:tcBorders>
              <w:top w:val="nil"/>
              <w:left w:val="nil"/>
              <w:bottom w:val="nil"/>
              <w:right w:val="nil"/>
            </w:tcBorders>
            <w:shd w:val="clear" w:color="auto" w:fill="auto"/>
            <w:vAlign w:val="center"/>
            <w:hideMark/>
          </w:tcPr>
          <w:p w:rsidR="00DE0C75" w:rsidRPr="003F0923" w:rsidRDefault="00DE0C75" w:rsidP="003F0923">
            <w:pPr>
              <w:jc w:val="center"/>
              <w:rPr>
                <w:color w:val="000000" w:themeColor="text1"/>
                <w:sz w:val="20"/>
                <w:szCs w:val="20"/>
              </w:rPr>
            </w:pPr>
            <w:r w:rsidRPr="003F0923">
              <w:rPr>
                <w:color w:val="000000" w:themeColor="text1"/>
                <w:sz w:val="20"/>
                <w:szCs w:val="20"/>
              </w:rPr>
              <w:t>inf_sa (-1)</w:t>
            </w:r>
          </w:p>
        </w:tc>
        <w:tc>
          <w:tcPr>
            <w:tcW w:w="1460" w:type="dxa"/>
            <w:gridSpan w:val="4"/>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0,622</w:t>
            </w:r>
          </w:p>
        </w:tc>
        <w:tc>
          <w:tcPr>
            <w:tcW w:w="1350"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0,071</w:t>
            </w:r>
          </w:p>
        </w:tc>
        <w:tc>
          <w:tcPr>
            <w:tcW w:w="1170" w:type="dxa"/>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8,748</w:t>
            </w:r>
          </w:p>
        </w:tc>
        <w:tc>
          <w:tcPr>
            <w:tcW w:w="1076"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0,000</w:t>
            </w:r>
          </w:p>
        </w:tc>
      </w:tr>
      <w:tr w:rsidR="00DE0C75" w:rsidRPr="000B3A8F" w:rsidTr="003F0923">
        <w:trPr>
          <w:trHeight w:val="128"/>
        </w:trPr>
        <w:tc>
          <w:tcPr>
            <w:tcW w:w="1059" w:type="dxa"/>
            <w:tcBorders>
              <w:top w:val="nil"/>
              <w:left w:val="nil"/>
              <w:bottom w:val="nil"/>
              <w:right w:val="nil"/>
            </w:tcBorders>
            <w:shd w:val="clear" w:color="auto" w:fill="auto"/>
            <w:vAlign w:val="center"/>
            <w:hideMark/>
          </w:tcPr>
          <w:p w:rsidR="00DE0C75" w:rsidRPr="003F0923" w:rsidRDefault="00DE0C75" w:rsidP="003F0923">
            <w:pPr>
              <w:jc w:val="center"/>
              <w:rPr>
                <w:color w:val="000000" w:themeColor="text1"/>
                <w:sz w:val="20"/>
                <w:szCs w:val="20"/>
              </w:rPr>
            </w:pPr>
            <w:r w:rsidRPr="003F0923">
              <w:rPr>
                <w:color w:val="000000" w:themeColor="text1"/>
                <w:sz w:val="20"/>
                <w:szCs w:val="20"/>
              </w:rPr>
              <w:t>inf_sa (-2)</w:t>
            </w:r>
          </w:p>
        </w:tc>
        <w:tc>
          <w:tcPr>
            <w:tcW w:w="1460" w:type="dxa"/>
            <w:gridSpan w:val="4"/>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0,140</w:t>
            </w:r>
          </w:p>
        </w:tc>
        <w:tc>
          <w:tcPr>
            <w:tcW w:w="1350"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0,067</w:t>
            </w:r>
          </w:p>
        </w:tc>
        <w:tc>
          <w:tcPr>
            <w:tcW w:w="1170" w:type="dxa"/>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2,097</w:t>
            </w:r>
          </w:p>
        </w:tc>
        <w:tc>
          <w:tcPr>
            <w:tcW w:w="1076"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0,037</w:t>
            </w:r>
          </w:p>
        </w:tc>
      </w:tr>
      <w:tr w:rsidR="00DE0C75" w:rsidRPr="000B3A8F" w:rsidTr="003F0923">
        <w:trPr>
          <w:trHeight w:val="128"/>
        </w:trPr>
        <w:tc>
          <w:tcPr>
            <w:tcW w:w="1059" w:type="dxa"/>
            <w:tcBorders>
              <w:top w:val="nil"/>
              <w:left w:val="nil"/>
              <w:bottom w:val="nil"/>
              <w:right w:val="nil"/>
            </w:tcBorders>
            <w:shd w:val="clear" w:color="auto" w:fill="auto"/>
            <w:vAlign w:val="center"/>
            <w:hideMark/>
          </w:tcPr>
          <w:p w:rsidR="00DE0C75" w:rsidRPr="003F0923" w:rsidRDefault="00DE0C75" w:rsidP="003F0923">
            <w:pPr>
              <w:jc w:val="center"/>
              <w:rPr>
                <w:color w:val="000000" w:themeColor="text1"/>
                <w:sz w:val="20"/>
                <w:szCs w:val="20"/>
              </w:rPr>
            </w:pPr>
            <w:bookmarkStart w:id="79" w:name="OLE_LINK147"/>
            <w:bookmarkStart w:id="80" w:name="OLE_LINK203"/>
            <w:r w:rsidRPr="003F0923">
              <w:rPr>
                <w:color w:val="000000" w:themeColor="text1"/>
                <w:sz w:val="20"/>
                <w:szCs w:val="20"/>
              </w:rPr>
              <w:t>iip_sa</w:t>
            </w:r>
            <w:bookmarkEnd w:id="79"/>
            <w:bookmarkEnd w:id="80"/>
          </w:p>
        </w:tc>
        <w:tc>
          <w:tcPr>
            <w:tcW w:w="1460" w:type="dxa"/>
            <w:gridSpan w:val="4"/>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-0,007</w:t>
            </w:r>
          </w:p>
        </w:tc>
        <w:tc>
          <w:tcPr>
            <w:tcW w:w="1350"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0,009</w:t>
            </w:r>
          </w:p>
        </w:tc>
        <w:tc>
          <w:tcPr>
            <w:tcW w:w="1170" w:type="dxa"/>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-0,816</w:t>
            </w:r>
          </w:p>
        </w:tc>
        <w:tc>
          <w:tcPr>
            <w:tcW w:w="1076"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0,415</w:t>
            </w:r>
          </w:p>
        </w:tc>
      </w:tr>
      <w:tr w:rsidR="00DE0C75" w:rsidRPr="000B3A8F" w:rsidTr="003F0923">
        <w:trPr>
          <w:trHeight w:val="128"/>
        </w:trPr>
        <w:tc>
          <w:tcPr>
            <w:tcW w:w="1059" w:type="dxa"/>
            <w:tcBorders>
              <w:top w:val="nil"/>
              <w:left w:val="nil"/>
              <w:bottom w:val="nil"/>
              <w:right w:val="nil"/>
            </w:tcBorders>
            <w:shd w:val="clear" w:color="auto" w:fill="auto"/>
            <w:vAlign w:val="center"/>
            <w:hideMark/>
          </w:tcPr>
          <w:p w:rsidR="00DE0C75" w:rsidRPr="003F0923" w:rsidRDefault="00DE0C75" w:rsidP="003F0923">
            <w:pPr>
              <w:jc w:val="center"/>
              <w:rPr>
                <w:color w:val="000000" w:themeColor="text1"/>
                <w:sz w:val="20"/>
                <w:szCs w:val="20"/>
              </w:rPr>
            </w:pPr>
            <w:bookmarkStart w:id="81" w:name="OLE_LINK204"/>
            <w:bookmarkStart w:id="82" w:name="OLE_LINK618"/>
            <w:r w:rsidRPr="003F0923">
              <w:rPr>
                <w:color w:val="000000" w:themeColor="text1"/>
                <w:sz w:val="20"/>
                <w:szCs w:val="20"/>
              </w:rPr>
              <w:t>iip_sa (-1)</w:t>
            </w:r>
            <w:bookmarkEnd w:id="81"/>
            <w:bookmarkEnd w:id="82"/>
          </w:p>
        </w:tc>
        <w:tc>
          <w:tcPr>
            <w:tcW w:w="1460" w:type="dxa"/>
            <w:gridSpan w:val="4"/>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0,017</w:t>
            </w:r>
          </w:p>
        </w:tc>
        <w:tc>
          <w:tcPr>
            <w:tcW w:w="1350"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0,009</w:t>
            </w:r>
          </w:p>
        </w:tc>
        <w:tc>
          <w:tcPr>
            <w:tcW w:w="1170" w:type="dxa"/>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1,921</w:t>
            </w:r>
          </w:p>
        </w:tc>
        <w:tc>
          <w:tcPr>
            <w:tcW w:w="1076"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0,056</w:t>
            </w:r>
          </w:p>
        </w:tc>
      </w:tr>
      <w:tr w:rsidR="00DE0C75" w:rsidRPr="000B3A8F" w:rsidTr="003F0923">
        <w:trPr>
          <w:trHeight w:val="128"/>
        </w:trPr>
        <w:tc>
          <w:tcPr>
            <w:tcW w:w="1059" w:type="dxa"/>
            <w:tcBorders>
              <w:top w:val="nil"/>
              <w:left w:val="nil"/>
              <w:bottom w:val="nil"/>
              <w:right w:val="nil"/>
            </w:tcBorders>
            <w:shd w:val="clear" w:color="auto" w:fill="auto"/>
            <w:hideMark/>
          </w:tcPr>
          <w:p w:rsidR="00DE0C75" w:rsidRPr="003F0923" w:rsidRDefault="00DE0C75" w:rsidP="003F0923">
            <w:pPr>
              <w:jc w:val="center"/>
              <w:rPr>
                <w:color w:val="000000" w:themeColor="text1"/>
                <w:sz w:val="20"/>
                <w:szCs w:val="20"/>
              </w:rPr>
            </w:pPr>
            <w:r w:rsidRPr="003F0923">
              <w:rPr>
                <w:color w:val="000000" w:themeColor="text1"/>
                <w:sz w:val="20"/>
                <w:szCs w:val="20"/>
              </w:rPr>
              <w:t>iip_sa (-2)</w:t>
            </w:r>
          </w:p>
        </w:tc>
        <w:tc>
          <w:tcPr>
            <w:tcW w:w="1460" w:type="dxa"/>
            <w:gridSpan w:val="4"/>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0,000</w:t>
            </w:r>
          </w:p>
        </w:tc>
        <w:tc>
          <w:tcPr>
            <w:tcW w:w="1350"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0,009</w:t>
            </w:r>
          </w:p>
        </w:tc>
        <w:tc>
          <w:tcPr>
            <w:tcW w:w="1170" w:type="dxa"/>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-0,033</w:t>
            </w:r>
          </w:p>
        </w:tc>
        <w:tc>
          <w:tcPr>
            <w:tcW w:w="1076"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0,974</w:t>
            </w:r>
          </w:p>
        </w:tc>
      </w:tr>
      <w:tr w:rsidR="00DE0C75" w:rsidRPr="000B3A8F" w:rsidTr="003F0923">
        <w:trPr>
          <w:trHeight w:val="128"/>
        </w:trPr>
        <w:tc>
          <w:tcPr>
            <w:tcW w:w="1059" w:type="dxa"/>
            <w:tcBorders>
              <w:top w:val="nil"/>
              <w:left w:val="nil"/>
              <w:bottom w:val="nil"/>
              <w:right w:val="nil"/>
            </w:tcBorders>
            <w:shd w:val="clear" w:color="auto" w:fill="auto"/>
            <w:hideMark/>
          </w:tcPr>
          <w:p w:rsidR="00DE0C75" w:rsidRPr="003F0923" w:rsidRDefault="00DE0C75" w:rsidP="003F0923">
            <w:pPr>
              <w:jc w:val="center"/>
              <w:rPr>
                <w:color w:val="000000" w:themeColor="text1"/>
                <w:sz w:val="20"/>
                <w:szCs w:val="20"/>
              </w:rPr>
            </w:pPr>
            <w:r w:rsidRPr="003F0923">
              <w:rPr>
                <w:color w:val="000000" w:themeColor="text1"/>
                <w:sz w:val="20"/>
                <w:szCs w:val="20"/>
              </w:rPr>
              <w:t>iip_sa (-3)</w:t>
            </w:r>
          </w:p>
        </w:tc>
        <w:tc>
          <w:tcPr>
            <w:tcW w:w="1460" w:type="dxa"/>
            <w:gridSpan w:val="4"/>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-0,020</w:t>
            </w:r>
          </w:p>
        </w:tc>
        <w:tc>
          <w:tcPr>
            <w:tcW w:w="1350"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0,009</w:t>
            </w:r>
          </w:p>
        </w:tc>
        <w:tc>
          <w:tcPr>
            <w:tcW w:w="1170" w:type="dxa"/>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-2,308</w:t>
            </w:r>
          </w:p>
        </w:tc>
        <w:tc>
          <w:tcPr>
            <w:tcW w:w="1076"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0,022</w:t>
            </w:r>
          </w:p>
        </w:tc>
      </w:tr>
      <w:tr w:rsidR="00DE0C75" w:rsidRPr="000B3A8F" w:rsidTr="003F0923">
        <w:trPr>
          <w:trHeight w:val="128"/>
        </w:trPr>
        <w:tc>
          <w:tcPr>
            <w:tcW w:w="1059" w:type="dxa"/>
            <w:tcBorders>
              <w:top w:val="nil"/>
              <w:left w:val="nil"/>
              <w:bottom w:val="nil"/>
              <w:right w:val="nil"/>
            </w:tcBorders>
            <w:shd w:val="clear" w:color="auto" w:fill="auto"/>
            <w:hideMark/>
          </w:tcPr>
          <w:p w:rsidR="00DE0C75" w:rsidRPr="003F0923" w:rsidRDefault="00DE0C75" w:rsidP="003F0923">
            <w:pPr>
              <w:jc w:val="center"/>
              <w:rPr>
                <w:color w:val="000000" w:themeColor="text1"/>
                <w:sz w:val="20"/>
                <w:szCs w:val="20"/>
              </w:rPr>
            </w:pPr>
            <w:r w:rsidRPr="003F0923">
              <w:rPr>
                <w:color w:val="000000" w:themeColor="text1"/>
                <w:sz w:val="20"/>
                <w:szCs w:val="20"/>
              </w:rPr>
              <w:t>iip_sa (-4)</w:t>
            </w:r>
          </w:p>
        </w:tc>
        <w:tc>
          <w:tcPr>
            <w:tcW w:w="1460" w:type="dxa"/>
            <w:gridSpan w:val="4"/>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0,003</w:t>
            </w:r>
          </w:p>
        </w:tc>
        <w:tc>
          <w:tcPr>
            <w:tcW w:w="1350"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0,009</w:t>
            </w:r>
          </w:p>
        </w:tc>
        <w:tc>
          <w:tcPr>
            <w:tcW w:w="1170" w:type="dxa"/>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0,348</w:t>
            </w:r>
          </w:p>
        </w:tc>
        <w:tc>
          <w:tcPr>
            <w:tcW w:w="1076"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0,728</w:t>
            </w:r>
          </w:p>
        </w:tc>
      </w:tr>
      <w:tr w:rsidR="00DE0C75" w:rsidRPr="000B3A8F" w:rsidTr="003F0923">
        <w:trPr>
          <w:trHeight w:val="128"/>
        </w:trPr>
        <w:tc>
          <w:tcPr>
            <w:tcW w:w="1059" w:type="dxa"/>
            <w:tcBorders>
              <w:top w:val="nil"/>
              <w:left w:val="nil"/>
              <w:bottom w:val="nil"/>
              <w:right w:val="nil"/>
            </w:tcBorders>
            <w:shd w:val="clear" w:color="auto" w:fill="auto"/>
            <w:hideMark/>
          </w:tcPr>
          <w:p w:rsidR="00DE0C75" w:rsidRPr="003F0923" w:rsidRDefault="00DE0C75" w:rsidP="003F0923">
            <w:pPr>
              <w:jc w:val="center"/>
              <w:rPr>
                <w:color w:val="000000" w:themeColor="text1"/>
                <w:sz w:val="20"/>
                <w:szCs w:val="20"/>
              </w:rPr>
            </w:pPr>
            <w:r w:rsidRPr="003F0923">
              <w:rPr>
                <w:color w:val="000000" w:themeColor="text1"/>
                <w:sz w:val="20"/>
                <w:szCs w:val="20"/>
              </w:rPr>
              <w:t>iip_sa (-5)</w:t>
            </w:r>
          </w:p>
        </w:tc>
        <w:tc>
          <w:tcPr>
            <w:tcW w:w="1460" w:type="dxa"/>
            <w:gridSpan w:val="4"/>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-0,003</w:t>
            </w:r>
          </w:p>
        </w:tc>
        <w:tc>
          <w:tcPr>
            <w:tcW w:w="1350"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0,009</w:t>
            </w:r>
          </w:p>
        </w:tc>
        <w:tc>
          <w:tcPr>
            <w:tcW w:w="1170" w:type="dxa"/>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-0,371</w:t>
            </w:r>
          </w:p>
        </w:tc>
        <w:tc>
          <w:tcPr>
            <w:tcW w:w="1076"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0,711</w:t>
            </w:r>
          </w:p>
        </w:tc>
      </w:tr>
      <w:tr w:rsidR="00DE0C75" w:rsidRPr="000B3A8F" w:rsidTr="003F0923">
        <w:trPr>
          <w:trHeight w:val="128"/>
        </w:trPr>
        <w:tc>
          <w:tcPr>
            <w:tcW w:w="1059" w:type="dxa"/>
            <w:tcBorders>
              <w:top w:val="nil"/>
              <w:left w:val="nil"/>
              <w:bottom w:val="nil"/>
              <w:right w:val="nil"/>
            </w:tcBorders>
            <w:shd w:val="clear" w:color="auto" w:fill="auto"/>
            <w:hideMark/>
          </w:tcPr>
          <w:p w:rsidR="00DE0C75" w:rsidRPr="003F0923" w:rsidRDefault="00DE0C75" w:rsidP="003F0923">
            <w:pPr>
              <w:jc w:val="center"/>
              <w:rPr>
                <w:color w:val="000000" w:themeColor="text1"/>
                <w:sz w:val="20"/>
                <w:szCs w:val="20"/>
              </w:rPr>
            </w:pPr>
            <w:r w:rsidRPr="003F0923">
              <w:rPr>
                <w:color w:val="000000" w:themeColor="text1"/>
                <w:sz w:val="20"/>
                <w:szCs w:val="20"/>
              </w:rPr>
              <w:t>iip_sa (-6)</w:t>
            </w:r>
          </w:p>
        </w:tc>
        <w:tc>
          <w:tcPr>
            <w:tcW w:w="1460" w:type="dxa"/>
            <w:gridSpan w:val="4"/>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-0,002</w:t>
            </w:r>
          </w:p>
        </w:tc>
        <w:tc>
          <w:tcPr>
            <w:tcW w:w="1350"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0,009</w:t>
            </w:r>
          </w:p>
        </w:tc>
        <w:tc>
          <w:tcPr>
            <w:tcW w:w="1170" w:type="dxa"/>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-0,244</w:t>
            </w:r>
          </w:p>
        </w:tc>
        <w:tc>
          <w:tcPr>
            <w:tcW w:w="1076" w:type="dxa"/>
            <w:gridSpan w:val="2"/>
            <w:tcBorders>
              <w:top w:val="nil"/>
              <w:left w:val="nil"/>
              <w:bottom w:val="nil"/>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0,808</w:t>
            </w:r>
          </w:p>
        </w:tc>
      </w:tr>
      <w:tr w:rsidR="00DE0C75" w:rsidRPr="000B3A8F" w:rsidTr="003F0923">
        <w:trPr>
          <w:trHeight w:val="128"/>
        </w:trPr>
        <w:tc>
          <w:tcPr>
            <w:tcW w:w="1059" w:type="dxa"/>
            <w:tcBorders>
              <w:top w:val="nil"/>
              <w:left w:val="nil"/>
              <w:bottom w:val="nil"/>
              <w:right w:val="nil"/>
            </w:tcBorders>
            <w:shd w:val="clear" w:color="auto" w:fill="auto"/>
          </w:tcPr>
          <w:p w:rsidR="00DE0C75" w:rsidRPr="003F0923" w:rsidRDefault="00DE0C75" w:rsidP="003F0923">
            <w:pPr>
              <w:jc w:val="center"/>
              <w:rPr>
                <w:color w:val="000000" w:themeColor="text1"/>
                <w:sz w:val="20"/>
                <w:szCs w:val="20"/>
              </w:rPr>
            </w:pPr>
            <w:r w:rsidRPr="003F0923">
              <w:rPr>
                <w:color w:val="000000" w:themeColor="text1"/>
                <w:sz w:val="20"/>
                <w:szCs w:val="20"/>
              </w:rPr>
              <w:t>iip_sa (-7)</w:t>
            </w:r>
          </w:p>
        </w:tc>
        <w:tc>
          <w:tcPr>
            <w:tcW w:w="1460" w:type="dxa"/>
            <w:gridSpan w:val="4"/>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-0,003</w:t>
            </w:r>
          </w:p>
        </w:tc>
        <w:tc>
          <w:tcPr>
            <w:tcW w:w="1350" w:type="dxa"/>
            <w:gridSpan w:val="2"/>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0,009</w:t>
            </w:r>
          </w:p>
        </w:tc>
        <w:tc>
          <w:tcPr>
            <w:tcW w:w="1170" w:type="dxa"/>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-0,338</w:t>
            </w:r>
          </w:p>
        </w:tc>
        <w:tc>
          <w:tcPr>
            <w:tcW w:w="1076" w:type="dxa"/>
            <w:gridSpan w:val="2"/>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0,736</w:t>
            </w:r>
          </w:p>
        </w:tc>
      </w:tr>
      <w:tr w:rsidR="00DE0C75" w:rsidRPr="000B3A8F" w:rsidTr="003F0923">
        <w:trPr>
          <w:trHeight w:val="128"/>
        </w:trPr>
        <w:tc>
          <w:tcPr>
            <w:tcW w:w="1059" w:type="dxa"/>
            <w:tcBorders>
              <w:top w:val="nil"/>
              <w:left w:val="nil"/>
              <w:bottom w:val="nil"/>
              <w:right w:val="nil"/>
            </w:tcBorders>
            <w:shd w:val="clear" w:color="auto" w:fill="auto"/>
          </w:tcPr>
          <w:p w:rsidR="00DE0C75" w:rsidRPr="003F0923" w:rsidRDefault="00DE0C75" w:rsidP="003F0923">
            <w:pPr>
              <w:jc w:val="center"/>
              <w:rPr>
                <w:color w:val="000000" w:themeColor="text1"/>
                <w:sz w:val="20"/>
                <w:szCs w:val="20"/>
              </w:rPr>
            </w:pPr>
            <w:r w:rsidRPr="003F0923">
              <w:rPr>
                <w:color w:val="000000" w:themeColor="text1"/>
                <w:sz w:val="20"/>
                <w:szCs w:val="20"/>
              </w:rPr>
              <w:t>iip_sa (-8)</w:t>
            </w:r>
          </w:p>
        </w:tc>
        <w:tc>
          <w:tcPr>
            <w:tcW w:w="1460" w:type="dxa"/>
            <w:gridSpan w:val="4"/>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-0,022</w:t>
            </w:r>
          </w:p>
        </w:tc>
        <w:tc>
          <w:tcPr>
            <w:tcW w:w="1350" w:type="dxa"/>
            <w:gridSpan w:val="2"/>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0,008</w:t>
            </w:r>
          </w:p>
        </w:tc>
        <w:tc>
          <w:tcPr>
            <w:tcW w:w="1170" w:type="dxa"/>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-2,668</w:t>
            </w:r>
          </w:p>
        </w:tc>
        <w:tc>
          <w:tcPr>
            <w:tcW w:w="1076" w:type="dxa"/>
            <w:gridSpan w:val="2"/>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0,008</w:t>
            </w:r>
          </w:p>
        </w:tc>
      </w:tr>
      <w:tr w:rsidR="00DE0C75" w:rsidRPr="000B3A8F" w:rsidTr="003F0923">
        <w:trPr>
          <w:trHeight w:val="128"/>
        </w:trPr>
        <w:tc>
          <w:tcPr>
            <w:tcW w:w="1059" w:type="dxa"/>
            <w:tcBorders>
              <w:top w:val="nil"/>
              <w:left w:val="nil"/>
              <w:bottom w:val="nil"/>
              <w:right w:val="nil"/>
            </w:tcBorders>
            <w:shd w:val="clear" w:color="auto" w:fill="auto"/>
          </w:tcPr>
          <w:p w:rsidR="00DE0C75" w:rsidRPr="003F0923" w:rsidRDefault="00DE0C75" w:rsidP="003F0923">
            <w:pPr>
              <w:jc w:val="center"/>
              <w:rPr>
                <w:color w:val="000000" w:themeColor="text1"/>
                <w:sz w:val="20"/>
                <w:szCs w:val="20"/>
              </w:rPr>
            </w:pPr>
            <w:r w:rsidRPr="003F0923">
              <w:rPr>
                <w:color w:val="000000" w:themeColor="text1"/>
                <w:sz w:val="20"/>
                <w:szCs w:val="20"/>
              </w:rPr>
              <w:t>iip_sa (-9)</w:t>
            </w:r>
          </w:p>
        </w:tc>
        <w:tc>
          <w:tcPr>
            <w:tcW w:w="1460" w:type="dxa"/>
            <w:gridSpan w:val="4"/>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0,013</w:t>
            </w:r>
          </w:p>
        </w:tc>
        <w:tc>
          <w:tcPr>
            <w:tcW w:w="1350" w:type="dxa"/>
            <w:gridSpan w:val="2"/>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0,008</w:t>
            </w:r>
          </w:p>
        </w:tc>
        <w:tc>
          <w:tcPr>
            <w:tcW w:w="1170" w:type="dxa"/>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1,577</w:t>
            </w:r>
          </w:p>
        </w:tc>
        <w:tc>
          <w:tcPr>
            <w:tcW w:w="1076" w:type="dxa"/>
            <w:gridSpan w:val="2"/>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0,116</w:t>
            </w:r>
          </w:p>
        </w:tc>
      </w:tr>
      <w:tr w:rsidR="00DE0C75" w:rsidRPr="000B3A8F" w:rsidTr="003F0923">
        <w:trPr>
          <w:trHeight w:val="128"/>
        </w:trPr>
        <w:tc>
          <w:tcPr>
            <w:tcW w:w="1059" w:type="dxa"/>
            <w:tcBorders>
              <w:top w:val="nil"/>
              <w:left w:val="nil"/>
              <w:bottom w:val="nil"/>
              <w:right w:val="nil"/>
            </w:tcBorders>
            <w:shd w:val="clear" w:color="auto" w:fill="auto"/>
            <w:vAlign w:val="center"/>
          </w:tcPr>
          <w:p w:rsidR="00DE0C75" w:rsidRPr="003F0923" w:rsidRDefault="00DE0C75" w:rsidP="003F0923">
            <w:pPr>
              <w:jc w:val="center"/>
              <w:rPr>
                <w:color w:val="000000" w:themeColor="text1"/>
                <w:sz w:val="20"/>
                <w:szCs w:val="20"/>
              </w:rPr>
            </w:pPr>
            <w:r w:rsidRPr="003F0923">
              <w:rPr>
                <w:color w:val="000000" w:themeColor="text1"/>
                <w:sz w:val="20"/>
                <w:szCs w:val="20"/>
              </w:rPr>
              <w:t>gpi</w:t>
            </w:r>
          </w:p>
        </w:tc>
        <w:tc>
          <w:tcPr>
            <w:tcW w:w="1460" w:type="dxa"/>
            <w:gridSpan w:val="4"/>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0,027</w:t>
            </w:r>
          </w:p>
        </w:tc>
        <w:tc>
          <w:tcPr>
            <w:tcW w:w="1350" w:type="dxa"/>
            <w:gridSpan w:val="2"/>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0,007</w:t>
            </w:r>
          </w:p>
        </w:tc>
        <w:tc>
          <w:tcPr>
            <w:tcW w:w="1170" w:type="dxa"/>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3,769</w:t>
            </w:r>
          </w:p>
        </w:tc>
        <w:tc>
          <w:tcPr>
            <w:tcW w:w="1076" w:type="dxa"/>
            <w:gridSpan w:val="2"/>
            <w:tcBorders>
              <w:top w:val="nil"/>
              <w:left w:val="nil"/>
              <w:bottom w:val="nil"/>
              <w:right w:val="nil"/>
            </w:tcBorders>
            <w:shd w:val="clear" w:color="auto" w:fill="auto"/>
            <w:vAlign w:val="bottom"/>
          </w:tcPr>
          <w:p w:rsidR="00DE0C75" w:rsidRPr="003F0923" w:rsidRDefault="00DE0C75" w:rsidP="003F0923">
            <w:pPr>
              <w:jc w:val="right"/>
              <w:rPr>
                <w:color w:val="000000" w:themeColor="text1"/>
                <w:sz w:val="20"/>
                <w:szCs w:val="20"/>
              </w:rPr>
            </w:pPr>
            <w:r w:rsidRPr="003F0923">
              <w:rPr>
                <w:color w:val="000000"/>
                <w:sz w:val="20"/>
                <w:szCs w:val="20"/>
              </w:rPr>
              <w:t>0,000</w:t>
            </w:r>
          </w:p>
        </w:tc>
      </w:tr>
      <w:tr w:rsidR="00DE0C75" w:rsidRPr="000B3A8F" w:rsidTr="003F0923">
        <w:trPr>
          <w:trHeight w:val="128"/>
        </w:trPr>
        <w:tc>
          <w:tcPr>
            <w:tcW w:w="1059" w:type="dxa"/>
            <w:tcBorders>
              <w:top w:val="nil"/>
              <w:left w:val="nil"/>
              <w:bottom w:val="double" w:sz="6" w:space="0" w:color="auto"/>
              <w:right w:val="nil"/>
            </w:tcBorders>
            <w:shd w:val="clear" w:color="auto" w:fill="auto"/>
            <w:vAlign w:val="center"/>
            <w:hideMark/>
          </w:tcPr>
          <w:p w:rsidR="00DE0C75" w:rsidRPr="003F0923" w:rsidRDefault="00DE0C75" w:rsidP="003F0923">
            <w:pPr>
              <w:jc w:val="center"/>
              <w:rPr>
                <w:color w:val="000000" w:themeColor="text1"/>
                <w:sz w:val="20"/>
                <w:szCs w:val="20"/>
              </w:rPr>
            </w:pPr>
            <w:r w:rsidRPr="003F0923">
              <w:rPr>
                <w:color w:val="000000" w:themeColor="text1"/>
                <w:sz w:val="20"/>
                <w:szCs w:val="20"/>
              </w:rPr>
              <w:t>gpi (-1)</w:t>
            </w:r>
          </w:p>
        </w:tc>
        <w:tc>
          <w:tcPr>
            <w:tcW w:w="1460" w:type="dxa"/>
            <w:gridSpan w:val="4"/>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0,014</w:t>
            </w:r>
          </w:p>
        </w:tc>
        <w:tc>
          <w:tcPr>
            <w:tcW w:w="1350" w:type="dxa"/>
            <w:gridSpan w:val="2"/>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0,008</w:t>
            </w:r>
          </w:p>
        </w:tc>
        <w:tc>
          <w:tcPr>
            <w:tcW w:w="1170" w:type="dxa"/>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1,860</w:t>
            </w:r>
          </w:p>
        </w:tc>
        <w:tc>
          <w:tcPr>
            <w:tcW w:w="1076" w:type="dxa"/>
            <w:gridSpan w:val="2"/>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0,064</w:t>
            </w:r>
          </w:p>
        </w:tc>
      </w:tr>
      <w:tr w:rsidR="006252FD" w:rsidRPr="000B3A8F" w:rsidTr="003F0923">
        <w:trPr>
          <w:gridAfter w:val="1"/>
          <w:wAfter w:w="6" w:type="dxa"/>
          <w:trHeight w:val="122"/>
        </w:trPr>
        <w:tc>
          <w:tcPr>
            <w:tcW w:w="6109" w:type="dxa"/>
            <w:gridSpan w:val="9"/>
            <w:tcBorders>
              <w:top w:val="nil"/>
              <w:left w:val="nil"/>
              <w:bottom w:val="double" w:sz="6" w:space="0" w:color="auto"/>
              <w:right w:val="nil"/>
            </w:tcBorders>
            <w:shd w:val="clear" w:color="auto" w:fill="auto"/>
            <w:vAlign w:val="center"/>
            <w:hideMark/>
          </w:tcPr>
          <w:p w:rsidR="006252FD" w:rsidRPr="003F0923" w:rsidRDefault="006949E5" w:rsidP="003F0923">
            <w:pPr>
              <w:jc w:val="center"/>
              <w:rPr>
                <w:b/>
                <w:bCs/>
                <w:color w:val="000000" w:themeColor="text1"/>
                <w:sz w:val="20"/>
                <w:szCs w:val="20"/>
              </w:rPr>
            </w:pPr>
            <w:r w:rsidRPr="003F0923">
              <w:rPr>
                <w:b/>
                <w:bCs/>
                <w:color w:val="000000" w:themeColor="text1"/>
                <w:sz w:val="20"/>
                <w:szCs w:val="20"/>
              </w:rPr>
              <w:t>Slopes</w:t>
            </w:r>
          </w:p>
        </w:tc>
      </w:tr>
      <w:tr w:rsidR="00DE0C75" w:rsidRPr="000B3A8F" w:rsidTr="003F0923">
        <w:trPr>
          <w:trHeight w:val="134"/>
        </w:trPr>
        <w:tc>
          <w:tcPr>
            <w:tcW w:w="1080" w:type="dxa"/>
            <w:gridSpan w:val="2"/>
            <w:tcBorders>
              <w:top w:val="nil"/>
              <w:left w:val="nil"/>
              <w:bottom w:val="double" w:sz="6" w:space="0" w:color="auto"/>
              <w:right w:val="nil"/>
            </w:tcBorders>
            <w:shd w:val="clear" w:color="auto" w:fill="auto"/>
            <w:vAlign w:val="center"/>
            <w:hideMark/>
          </w:tcPr>
          <w:p w:rsidR="00DE0C75" w:rsidRPr="003F0923" w:rsidRDefault="00DE0C75" w:rsidP="003F0923">
            <w:pPr>
              <w:jc w:val="center"/>
              <w:rPr>
                <w:color w:val="000000" w:themeColor="text1"/>
                <w:sz w:val="20"/>
                <w:szCs w:val="20"/>
              </w:rPr>
            </w:pPr>
            <w:r w:rsidRPr="003F0923">
              <w:rPr>
                <w:color w:val="000000" w:themeColor="text1"/>
                <w:sz w:val="20"/>
                <w:szCs w:val="20"/>
              </w:rPr>
              <w:t xml:space="preserve">Slope </w:t>
            </w:r>
          </w:p>
        </w:tc>
        <w:tc>
          <w:tcPr>
            <w:tcW w:w="1439" w:type="dxa"/>
            <w:gridSpan w:val="3"/>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bookmarkStart w:id="83" w:name="OLE_LINK619"/>
            <w:r w:rsidRPr="003F0923">
              <w:rPr>
                <w:color w:val="000000"/>
                <w:sz w:val="20"/>
                <w:szCs w:val="20"/>
              </w:rPr>
              <w:t>31,453</w:t>
            </w:r>
            <w:bookmarkEnd w:id="83"/>
          </w:p>
        </w:tc>
        <w:tc>
          <w:tcPr>
            <w:tcW w:w="1350" w:type="dxa"/>
            <w:gridSpan w:val="2"/>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85,371</w:t>
            </w:r>
          </w:p>
        </w:tc>
        <w:tc>
          <w:tcPr>
            <w:tcW w:w="1170" w:type="dxa"/>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0,368</w:t>
            </w:r>
          </w:p>
        </w:tc>
        <w:tc>
          <w:tcPr>
            <w:tcW w:w="1076" w:type="dxa"/>
            <w:gridSpan w:val="2"/>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0,713</w:t>
            </w:r>
          </w:p>
        </w:tc>
      </w:tr>
      <w:tr w:rsidR="006252FD" w:rsidRPr="000B3A8F" w:rsidTr="003F0923">
        <w:trPr>
          <w:gridAfter w:val="1"/>
          <w:wAfter w:w="6" w:type="dxa"/>
          <w:trHeight w:val="122"/>
        </w:trPr>
        <w:tc>
          <w:tcPr>
            <w:tcW w:w="6109" w:type="dxa"/>
            <w:gridSpan w:val="9"/>
            <w:tcBorders>
              <w:top w:val="nil"/>
              <w:left w:val="nil"/>
              <w:bottom w:val="double" w:sz="6" w:space="0" w:color="auto"/>
              <w:right w:val="nil"/>
            </w:tcBorders>
            <w:shd w:val="clear" w:color="auto" w:fill="auto"/>
            <w:vAlign w:val="center"/>
            <w:hideMark/>
          </w:tcPr>
          <w:p w:rsidR="006252FD" w:rsidRPr="003F0923" w:rsidRDefault="006949E5" w:rsidP="003F0923">
            <w:pPr>
              <w:jc w:val="center"/>
              <w:rPr>
                <w:b/>
                <w:bCs/>
                <w:color w:val="000000" w:themeColor="text1"/>
                <w:sz w:val="20"/>
                <w:szCs w:val="20"/>
              </w:rPr>
            </w:pPr>
            <w:r w:rsidRPr="003F0923">
              <w:rPr>
                <w:b/>
                <w:bCs/>
                <w:color w:val="000000" w:themeColor="text1"/>
                <w:sz w:val="20"/>
                <w:szCs w:val="20"/>
              </w:rPr>
              <w:t>Thresholds</w:t>
            </w:r>
          </w:p>
        </w:tc>
      </w:tr>
      <w:tr w:rsidR="00DE0C75" w:rsidRPr="000B3A8F" w:rsidTr="003F0923">
        <w:trPr>
          <w:trHeight w:val="134"/>
        </w:trPr>
        <w:tc>
          <w:tcPr>
            <w:tcW w:w="1059" w:type="dxa"/>
            <w:tcBorders>
              <w:top w:val="nil"/>
              <w:left w:val="nil"/>
              <w:bottom w:val="double" w:sz="6" w:space="0" w:color="auto"/>
              <w:right w:val="nil"/>
            </w:tcBorders>
            <w:shd w:val="clear" w:color="auto" w:fill="auto"/>
            <w:vAlign w:val="center"/>
            <w:hideMark/>
          </w:tcPr>
          <w:p w:rsidR="00DE0C75" w:rsidRPr="003F0923" w:rsidRDefault="00DE0C75" w:rsidP="003F0923">
            <w:pPr>
              <w:jc w:val="center"/>
              <w:rPr>
                <w:color w:val="000000" w:themeColor="text1"/>
                <w:sz w:val="20"/>
                <w:szCs w:val="20"/>
              </w:rPr>
            </w:pPr>
            <w:r w:rsidRPr="003F0923">
              <w:rPr>
                <w:color w:val="000000" w:themeColor="text1"/>
                <w:sz w:val="20"/>
                <w:szCs w:val="20"/>
              </w:rPr>
              <w:t>Threshold</w:t>
            </w:r>
          </w:p>
        </w:tc>
        <w:tc>
          <w:tcPr>
            <w:tcW w:w="1460" w:type="dxa"/>
            <w:gridSpan w:val="4"/>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bookmarkStart w:id="84" w:name="OLE_LINK788"/>
            <w:bookmarkStart w:id="85" w:name="OLE_LINK935"/>
            <w:r w:rsidRPr="003F0923">
              <w:rPr>
                <w:color w:val="000000"/>
                <w:sz w:val="20"/>
                <w:szCs w:val="20"/>
              </w:rPr>
              <w:t>1,195</w:t>
            </w:r>
            <w:bookmarkEnd w:id="84"/>
            <w:bookmarkEnd w:id="85"/>
          </w:p>
        </w:tc>
        <w:tc>
          <w:tcPr>
            <w:tcW w:w="1350" w:type="dxa"/>
            <w:gridSpan w:val="2"/>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0,091</w:t>
            </w:r>
          </w:p>
        </w:tc>
        <w:tc>
          <w:tcPr>
            <w:tcW w:w="1170" w:type="dxa"/>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13,095</w:t>
            </w:r>
          </w:p>
        </w:tc>
        <w:tc>
          <w:tcPr>
            <w:tcW w:w="1076" w:type="dxa"/>
            <w:gridSpan w:val="2"/>
            <w:tcBorders>
              <w:top w:val="nil"/>
              <w:left w:val="nil"/>
              <w:bottom w:val="double" w:sz="6" w:space="0" w:color="auto"/>
              <w:right w:val="nil"/>
            </w:tcBorders>
            <w:shd w:val="clear" w:color="auto" w:fill="auto"/>
            <w:vAlign w:val="bottom"/>
            <w:hideMark/>
          </w:tcPr>
          <w:p w:rsidR="00DE0C75" w:rsidRPr="003F0923" w:rsidRDefault="00DE0C75" w:rsidP="003F0923">
            <w:pPr>
              <w:jc w:val="right"/>
              <w:rPr>
                <w:color w:val="000000" w:themeColor="text1"/>
                <w:sz w:val="20"/>
                <w:szCs w:val="20"/>
              </w:rPr>
            </w:pPr>
            <w:r w:rsidRPr="003F0923">
              <w:rPr>
                <w:color w:val="000000"/>
                <w:sz w:val="20"/>
                <w:szCs w:val="20"/>
              </w:rPr>
              <w:t>0,000</w:t>
            </w:r>
          </w:p>
        </w:tc>
      </w:tr>
      <w:bookmarkEnd w:id="75"/>
      <w:tr w:rsidR="00425306" w:rsidRPr="000B3A8F" w:rsidTr="003F0923">
        <w:trPr>
          <w:trHeight w:val="128"/>
        </w:trPr>
        <w:tc>
          <w:tcPr>
            <w:tcW w:w="1980" w:type="dxa"/>
            <w:gridSpan w:val="4"/>
            <w:tcBorders>
              <w:top w:val="nil"/>
              <w:left w:val="nil"/>
              <w:bottom w:val="nil"/>
              <w:right w:val="nil"/>
            </w:tcBorders>
            <w:shd w:val="clear" w:color="auto" w:fill="auto"/>
            <w:vAlign w:val="center"/>
            <w:hideMark/>
          </w:tcPr>
          <w:p w:rsidR="00425306" w:rsidRPr="003F0923" w:rsidRDefault="00425306" w:rsidP="003F0923">
            <w:pPr>
              <w:rPr>
                <w:color w:val="000000" w:themeColor="text1"/>
                <w:sz w:val="20"/>
                <w:szCs w:val="20"/>
              </w:rPr>
            </w:pPr>
            <w:r w:rsidRPr="003F0923">
              <w:rPr>
                <w:color w:val="000000" w:themeColor="text1"/>
                <w:sz w:val="20"/>
                <w:szCs w:val="20"/>
              </w:rPr>
              <w:t>R-squared</w:t>
            </w:r>
          </w:p>
        </w:tc>
        <w:tc>
          <w:tcPr>
            <w:tcW w:w="900" w:type="dxa"/>
            <w:gridSpan w:val="2"/>
            <w:tcBorders>
              <w:top w:val="nil"/>
              <w:left w:val="nil"/>
              <w:bottom w:val="nil"/>
              <w:right w:val="nil"/>
            </w:tcBorders>
            <w:shd w:val="clear" w:color="auto" w:fill="auto"/>
            <w:vAlign w:val="bottom"/>
            <w:hideMark/>
          </w:tcPr>
          <w:p w:rsidR="00425306" w:rsidRPr="003F0923" w:rsidRDefault="00425306" w:rsidP="003F0923">
            <w:pPr>
              <w:jc w:val="right"/>
              <w:rPr>
                <w:color w:val="000000" w:themeColor="text1"/>
                <w:sz w:val="20"/>
                <w:szCs w:val="20"/>
              </w:rPr>
            </w:pPr>
            <w:r w:rsidRPr="003F0923">
              <w:rPr>
                <w:color w:val="000000"/>
                <w:sz w:val="20"/>
                <w:szCs w:val="20"/>
              </w:rPr>
              <w:t>0,727</w:t>
            </w:r>
          </w:p>
        </w:tc>
        <w:tc>
          <w:tcPr>
            <w:tcW w:w="2159" w:type="dxa"/>
            <w:gridSpan w:val="2"/>
            <w:tcBorders>
              <w:top w:val="nil"/>
              <w:left w:val="nil"/>
              <w:bottom w:val="nil"/>
              <w:right w:val="nil"/>
            </w:tcBorders>
            <w:shd w:val="clear" w:color="auto" w:fill="auto"/>
            <w:vAlign w:val="center"/>
            <w:hideMark/>
          </w:tcPr>
          <w:p w:rsidR="00425306" w:rsidRPr="003F0923" w:rsidRDefault="00425306" w:rsidP="003F0923">
            <w:pPr>
              <w:rPr>
                <w:color w:val="000000" w:themeColor="text1"/>
                <w:sz w:val="20"/>
                <w:szCs w:val="20"/>
              </w:rPr>
            </w:pPr>
            <w:r w:rsidRPr="003F0923">
              <w:rPr>
                <w:color w:val="000000" w:themeColor="text1"/>
                <w:sz w:val="20"/>
                <w:szCs w:val="20"/>
              </w:rPr>
              <w:t>Mean dependent var</w:t>
            </w:r>
          </w:p>
        </w:tc>
        <w:tc>
          <w:tcPr>
            <w:tcW w:w="1076" w:type="dxa"/>
            <w:gridSpan w:val="2"/>
            <w:tcBorders>
              <w:top w:val="nil"/>
              <w:left w:val="nil"/>
              <w:bottom w:val="nil"/>
              <w:right w:val="nil"/>
            </w:tcBorders>
            <w:shd w:val="clear" w:color="auto" w:fill="auto"/>
            <w:vAlign w:val="bottom"/>
            <w:hideMark/>
          </w:tcPr>
          <w:p w:rsidR="00425306" w:rsidRPr="003F0923" w:rsidRDefault="00425306" w:rsidP="003F0923">
            <w:pPr>
              <w:jc w:val="right"/>
              <w:rPr>
                <w:color w:val="000000" w:themeColor="text1"/>
                <w:sz w:val="20"/>
                <w:szCs w:val="20"/>
              </w:rPr>
            </w:pPr>
            <w:r w:rsidRPr="003F0923">
              <w:rPr>
                <w:color w:val="000000"/>
                <w:sz w:val="20"/>
                <w:szCs w:val="20"/>
              </w:rPr>
              <w:t>0,554</w:t>
            </w:r>
          </w:p>
        </w:tc>
      </w:tr>
      <w:tr w:rsidR="00425306" w:rsidRPr="000B3A8F" w:rsidTr="003F0923">
        <w:trPr>
          <w:trHeight w:val="128"/>
        </w:trPr>
        <w:tc>
          <w:tcPr>
            <w:tcW w:w="1980" w:type="dxa"/>
            <w:gridSpan w:val="4"/>
            <w:tcBorders>
              <w:top w:val="nil"/>
              <w:left w:val="nil"/>
              <w:bottom w:val="nil"/>
              <w:right w:val="nil"/>
            </w:tcBorders>
            <w:shd w:val="clear" w:color="auto" w:fill="auto"/>
            <w:vAlign w:val="center"/>
            <w:hideMark/>
          </w:tcPr>
          <w:p w:rsidR="00425306" w:rsidRPr="003F0923" w:rsidRDefault="00425306" w:rsidP="003F0923">
            <w:pPr>
              <w:rPr>
                <w:color w:val="000000" w:themeColor="text1"/>
                <w:sz w:val="20"/>
                <w:szCs w:val="20"/>
              </w:rPr>
            </w:pPr>
            <w:r w:rsidRPr="003F0923">
              <w:rPr>
                <w:color w:val="000000" w:themeColor="text1"/>
                <w:sz w:val="20"/>
                <w:szCs w:val="20"/>
              </w:rPr>
              <w:t>Adjusted R2</w:t>
            </w:r>
          </w:p>
        </w:tc>
        <w:tc>
          <w:tcPr>
            <w:tcW w:w="900" w:type="dxa"/>
            <w:gridSpan w:val="2"/>
            <w:tcBorders>
              <w:top w:val="nil"/>
              <w:left w:val="nil"/>
              <w:bottom w:val="nil"/>
              <w:right w:val="nil"/>
            </w:tcBorders>
            <w:shd w:val="clear" w:color="auto" w:fill="auto"/>
            <w:vAlign w:val="bottom"/>
            <w:hideMark/>
          </w:tcPr>
          <w:p w:rsidR="00425306" w:rsidRPr="003F0923" w:rsidRDefault="00425306" w:rsidP="003F0923">
            <w:pPr>
              <w:jc w:val="right"/>
              <w:rPr>
                <w:color w:val="000000" w:themeColor="text1"/>
                <w:sz w:val="20"/>
                <w:szCs w:val="20"/>
              </w:rPr>
            </w:pPr>
            <w:r w:rsidRPr="003F0923">
              <w:rPr>
                <w:color w:val="000000"/>
                <w:sz w:val="20"/>
                <w:szCs w:val="20"/>
              </w:rPr>
              <w:t>0,694</w:t>
            </w:r>
          </w:p>
        </w:tc>
        <w:tc>
          <w:tcPr>
            <w:tcW w:w="2159" w:type="dxa"/>
            <w:gridSpan w:val="2"/>
            <w:tcBorders>
              <w:top w:val="nil"/>
              <w:left w:val="nil"/>
              <w:bottom w:val="nil"/>
              <w:right w:val="nil"/>
            </w:tcBorders>
            <w:shd w:val="clear" w:color="auto" w:fill="auto"/>
            <w:vAlign w:val="center"/>
            <w:hideMark/>
          </w:tcPr>
          <w:p w:rsidR="00425306" w:rsidRPr="003F0923" w:rsidRDefault="00425306" w:rsidP="003F0923">
            <w:pPr>
              <w:rPr>
                <w:color w:val="000000" w:themeColor="text1"/>
                <w:sz w:val="20"/>
                <w:szCs w:val="20"/>
              </w:rPr>
            </w:pPr>
            <w:r w:rsidRPr="003F0923">
              <w:rPr>
                <w:color w:val="000000" w:themeColor="text1"/>
                <w:sz w:val="20"/>
                <w:szCs w:val="20"/>
              </w:rPr>
              <w:t>S.D. dependent var</w:t>
            </w:r>
          </w:p>
        </w:tc>
        <w:tc>
          <w:tcPr>
            <w:tcW w:w="1076" w:type="dxa"/>
            <w:gridSpan w:val="2"/>
            <w:tcBorders>
              <w:top w:val="nil"/>
              <w:left w:val="nil"/>
              <w:bottom w:val="nil"/>
              <w:right w:val="nil"/>
            </w:tcBorders>
            <w:shd w:val="clear" w:color="auto" w:fill="auto"/>
            <w:vAlign w:val="bottom"/>
            <w:hideMark/>
          </w:tcPr>
          <w:p w:rsidR="00425306" w:rsidRPr="003F0923" w:rsidRDefault="00425306" w:rsidP="003F0923">
            <w:pPr>
              <w:jc w:val="right"/>
              <w:rPr>
                <w:color w:val="000000" w:themeColor="text1"/>
                <w:sz w:val="20"/>
                <w:szCs w:val="20"/>
              </w:rPr>
            </w:pPr>
            <w:r w:rsidRPr="003F0923">
              <w:rPr>
                <w:color w:val="000000"/>
                <w:sz w:val="20"/>
                <w:szCs w:val="20"/>
              </w:rPr>
              <w:t>0,656</w:t>
            </w:r>
          </w:p>
        </w:tc>
      </w:tr>
      <w:tr w:rsidR="00425306" w:rsidRPr="000B3A8F" w:rsidTr="003F0923">
        <w:trPr>
          <w:trHeight w:val="128"/>
        </w:trPr>
        <w:tc>
          <w:tcPr>
            <w:tcW w:w="1980" w:type="dxa"/>
            <w:gridSpan w:val="4"/>
            <w:tcBorders>
              <w:top w:val="nil"/>
              <w:left w:val="nil"/>
              <w:bottom w:val="nil"/>
              <w:right w:val="nil"/>
            </w:tcBorders>
            <w:shd w:val="clear" w:color="auto" w:fill="auto"/>
            <w:vAlign w:val="center"/>
            <w:hideMark/>
          </w:tcPr>
          <w:p w:rsidR="00425306" w:rsidRPr="003F0923" w:rsidRDefault="00425306" w:rsidP="003F0923">
            <w:pPr>
              <w:rPr>
                <w:color w:val="000000" w:themeColor="text1"/>
                <w:sz w:val="20"/>
                <w:szCs w:val="20"/>
              </w:rPr>
            </w:pPr>
            <w:r w:rsidRPr="003F0923">
              <w:rPr>
                <w:color w:val="000000" w:themeColor="text1"/>
                <w:sz w:val="20"/>
                <w:szCs w:val="20"/>
              </w:rPr>
              <w:t>S.E. of regression</w:t>
            </w:r>
          </w:p>
        </w:tc>
        <w:tc>
          <w:tcPr>
            <w:tcW w:w="900" w:type="dxa"/>
            <w:gridSpan w:val="2"/>
            <w:tcBorders>
              <w:top w:val="nil"/>
              <w:left w:val="nil"/>
              <w:bottom w:val="nil"/>
              <w:right w:val="nil"/>
            </w:tcBorders>
            <w:shd w:val="clear" w:color="auto" w:fill="auto"/>
            <w:vAlign w:val="bottom"/>
            <w:hideMark/>
          </w:tcPr>
          <w:p w:rsidR="00425306" w:rsidRPr="003F0923" w:rsidRDefault="00425306" w:rsidP="003F0923">
            <w:pPr>
              <w:jc w:val="right"/>
              <w:rPr>
                <w:color w:val="000000" w:themeColor="text1"/>
                <w:sz w:val="20"/>
                <w:szCs w:val="20"/>
              </w:rPr>
            </w:pPr>
            <w:r w:rsidRPr="003F0923">
              <w:rPr>
                <w:color w:val="000000"/>
                <w:sz w:val="20"/>
                <w:szCs w:val="20"/>
              </w:rPr>
              <w:t>0,363</w:t>
            </w:r>
          </w:p>
        </w:tc>
        <w:tc>
          <w:tcPr>
            <w:tcW w:w="2159" w:type="dxa"/>
            <w:gridSpan w:val="2"/>
            <w:tcBorders>
              <w:top w:val="nil"/>
              <w:left w:val="nil"/>
              <w:bottom w:val="nil"/>
              <w:right w:val="nil"/>
            </w:tcBorders>
            <w:shd w:val="clear" w:color="auto" w:fill="auto"/>
            <w:vAlign w:val="center"/>
            <w:hideMark/>
          </w:tcPr>
          <w:p w:rsidR="00425306" w:rsidRPr="003F0923" w:rsidRDefault="00425306" w:rsidP="003F0923">
            <w:pPr>
              <w:rPr>
                <w:color w:val="000000" w:themeColor="text1"/>
                <w:sz w:val="20"/>
                <w:szCs w:val="20"/>
              </w:rPr>
            </w:pPr>
            <w:r w:rsidRPr="003F0923">
              <w:rPr>
                <w:color w:val="000000" w:themeColor="text1"/>
                <w:sz w:val="20"/>
                <w:szCs w:val="20"/>
              </w:rPr>
              <w:t>Akaike info criterion</w:t>
            </w:r>
          </w:p>
        </w:tc>
        <w:tc>
          <w:tcPr>
            <w:tcW w:w="1076" w:type="dxa"/>
            <w:gridSpan w:val="2"/>
            <w:tcBorders>
              <w:top w:val="nil"/>
              <w:left w:val="nil"/>
              <w:bottom w:val="nil"/>
              <w:right w:val="nil"/>
            </w:tcBorders>
            <w:shd w:val="clear" w:color="auto" w:fill="auto"/>
            <w:vAlign w:val="bottom"/>
            <w:hideMark/>
          </w:tcPr>
          <w:p w:rsidR="00425306" w:rsidRPr="003F0923" w:rsidRDefault="00425306" w:rsidP="003F0923">
            <w:pPr>
              <w:jc w:val="right"/>
              <w:rPr>
                <w:color w:val="000000" w:themeColor="text1"/>
                <w:sz w:val="20"/>
                <w:szCs w:val="20"/>
              </w:rPr>
            </w:pPr>
            <w:r w:rsidRPr="003F0923">
              <w:rPr>
                <w:color w:val="000000"/>
                <w:sz w:val="20"/>
                <w:szCs w:val="20"/>
              </w:rPr>
              <w:t>0,914</w:t>
            </w:r>
          </w:p>
        </w:tc>
      </w:tr>
      <w:tr w:rsidR="00425306" w:rsidRPr="000B3A8F" w:rsidTr="003F0923">
        <w:trPr>
          <w:trHeight w:val="128"/>
        </w:trPr>
        <w:tc>
          <w:tcPr>
            <w:tcW w:w="1980" w:type="dxa"/>
            <w:gridSpan w:val="4"/>
            <w:tcBorders>
              <w:top w:val="nil"/>
              <w:left w:val="nil"/>
              <w:bottom w:val="nil"/>
              <w:right w:val="nil"/>
            </w:tcBorders>
            <w:shd w:val="clear" w:color="auto" w:fill="auto"/>
            <w:vAlign w:val="center"/>
            <w:hideMark/>
          </w:tcPr>
          <w:p w:rsidR="00425306" w:rsidRPr="003F0923" w:rsidRDefault="00425306" w:rsidP="003F0923">
            <w:pPr>
              <w:rPr>
                <w:color w:val="000000" w:themeColor="text1"/>
                <w:sz w:val="20"/>
                <w:szCs w:val="20"/>
              </w:rPr>
            </w:pPr>
            <w:r w:rsidRPr="003F0923">
              <w:rPr>
                <w:color w:val="000000" w:themeColor="text1"/>
                <w:sz w:val="20"/>
                <w:szCs w:val="20"/>
              </w:rPr>
              <w:t>Sum squared resid</w:t>
            </w:r>
          </w:p>
        </w:tc>
        <w:tc>
          <w:tcPr>
            <w:tcW w:w="900" w:type="dxa"/>
            <w:gridSpan w:val="2"/>
            <w:tcBorders>
              <w:top w:val="nil"/>
              <w:left w:val="nil"/>
              <w:bottom w:val="nil"/>
              <w:right w:val="nil"/>
            </w:tcBorders>
            <w:shd w:val="clear" w:color="auto" w:fill="auto"/>
            <w:vAlign w:val="bottom"/>
            <w:hideMark/>
          </w:tcPr>
          <w:p w:rsidR="00425306" w:rsidRPr="003F0923" w:rsidRDefault="00425306" w:rsidP="003F0923">
            <w:pPr>
              <w:jc w:val="right"/>
              <w:rPr>
                <w:color w:val="000000" w:themeColor="text1"/>
                <w:sz w:val="20"/>
                <w:szCs w:val="20"/>
              </w:rPr>
            </w:pPr>
            <w:r w:rsidRPr="003F0923">
              <w:rPr>
                <w:color w:val="000000"/>
                <w:sz w:val="20"/>
                <w:szCs w:val="20"/>
              </w:rPr>
              <w:t>25,549</w:t>
            </w:r>
          </w:p>
        </w:tc>
        <w:tc>
          <w:tcPr>
            <w:tcW w:w="2159" w:type="dxa"/>
            <w:gridSpan w:val="2"/>
            <w:tcBorders>
              <w:top w:val="nil"/>
              <w:left w:val="nil"/>
              <w:bottom w:val="nil"/>
              <w:right w:val="nil"/>
            </w:tcBorders>
            <w:shd w:val="clear" w:color="auto" w:fill="auto"/>
            <w:vAlign w:val="center"/>
            <w:hideMark/>
          </w:tcPr>
          <w:p w:rsidR="00425306" w:rsidRPr="003F0923" w:rsidRDefault="00425306" w:rsidP="003F0923">
            <w:pPr>
              <w:rPr>
                <w:color w:val="000000" w:themeColor="text1"/>
                <w:sz w:val="20"/>
                <w:szCs w:val="20"/>
              </w:rPr>
            </w:pPr>
            <w:r w:rsidRPr="003F0923">
              <w:rPr>
                <w:color w:val="000000" w:themeColor="text1"/>
                <w:sz w:val="20"/>
                <w:szCs w:val="20"/>
              </w:rPr>
              <w:t>Schwarz criterion</w:t>
            </w:r>
          </w:p>
        </w:tc>
        <w:tc>
          <w:tcPr>
            <w:tcW w:w="1076" w:type="dxa"/>
            <w:gridSpan w:val="2"/>
            <w:tcBorders>
              <w:top w:val="nil"/>
              <w:left w:val="nil"/>
              <w:bottom w:val="nil"/>
              <w:right w:val="nil"/>
            </w:tcBorders>
            <w:shd w:val="clear" w:color="auto" w:fill="auto"/>
            <w:vAlign w:val="bottom"/>
            <w:hideMark/>
          </w:tcPr>
          <w:p w:rsidR="00425306" w:rsidRPr="003F0923" w:rsidRDefault="00425306" w:rsidP="003F0923">
            <w:pPr>
              <w:jc w:val="right"/>
              <w:rPr>
                <w:color w:val="000000" w:themeColor="text1"/>
                <w:sz w:val="20"/>
                <w:szCs w:val="20"/>
              </w:rPr>
            </w:pPr>
            <w:r w:rsidRPr="003F0923">
              <w:rPr>
                <w:color w:val="000000"/>
                <w:sz w:val="20"/>
                <w:szCs w:val="20"/>
              </w:rPr>
              <w:t>1,287</w:t>
            </w:r>
          </w:p>
        </w:tc>
      </w:tr>
      <w:tr w:rsidR="00425306" w:rsidRPr="000B3A8F" w:rsidTr="003F0923">
        <w:trPr>
          <w:trHeight w:val="128"/>
        </w:trPr>
        <w:tc>
          <w:tcPr>
            <w:tcW w:w="1980" w:type="dxa"/>
            <w:gridSpan w:val="4"/>
            <w:tcBorders>
              <w:top w:val="nil"/>
              <w:left w:val="nil"/>
              <w:bottom w:val="nil"/>
              <w:right w:val="nil"/>
            </w:tcBorders>
            <w:shd w:val="clear" w:color="auto" w:fill="auto"/>
            <w:vAlign w:val="center"/>
            <w:hideMark/>
          </w:tcPr>
          <w:p w:rsidR="00425306" w:rsidRPr="003F0923" w:rsidRDefault="00425306" w:rsidP="003F0923">
            <w:pPr>
              <w:rPr>
                <w:color w:val="000000" w:themeColor="text1"/>
                <w:sz w:val="20"/>
                <w:szCs w:val="20"/>
              </w:rPr>
            </w:pPr>
            <w:r w:rsidRPr="003F0923">
              <w:rPr>
                <w:color w:val="000000" w:themeColor="text1"/>
                <w:sz w:val="20"/>
                <w:szCs w:val="20"/>
              </w:rPr>
              <w:lastRenderedPageBreak/>
              <w:t>Log likelihood</w:t>
            </w:r>
          </w:p>
        </w:tc>
        <w:tc>
          <w:tcPr>
            <w:tcW w:w="900" w:type="dxa"/>
            <w:gridSpan w:val="2"/>
            <w:tcBorders>
              <w:top w:val="nil"/>
              <w:left w:val="nil"/>
              <w:bottom w:val="nil"/>
              <w:right w:val="nil"/>
            </w:tcBorders>
            <w:shd w:val="clear" w:color="auto" w:fill="auto"/>
            <w:vAlign w:val="bottom"/>
            <w:hideMark/>
          </w:tcPr>
          <w:p w:rsidR="00425306" w:rsidRPr="003F0923" w:rsidRDefault="00425306" w:rsidP="003F0923">
            <w:pPr>
              <w:jc w:val="right"/>
              <w:rPr>
                <w:color w:val="000000" w:themeColor="text1"/>
                <w:sz w:val="20"/>
                <w:szCs w:val="20"/>
              </w:rPr>
            </w:pPr>
            <w:r w:rsidRPr="003F0923">
              <w:rPr>
                <w:color w:val="000000"/>
                <w:sz w:val="20"/>
                <w:szCs w:val="20"/>
              </w:rPr>
              <w:t>-75,645</w:t>
            </w:r>
          </w:p>
        </w:tc>
        <w:tc>
          <w:tcPr>
            <w:tcW w:w="2159" w:type="dxa"/>
            <w:gridSpan w:val="2"/>
            <w:tcBorders>
              <w:top w:val="nil"/>
              <w:left w:val="nil"/>
              <w:bottom w:val="nil"/>
              <w:right w:val="nil"/>
            </w:tcBorders>
            <w:shd w:val="clear" w:color="auto" w:fill="auto"/>
            <w:vAlign w:val="center"/>
            <w:hideMark/>
          </w:tcPr>
          <w:p w:rsidR="00425306" w:rsidRPr="003F0923" w:rsidRDefault="00425306" w:rsidP="003F0923">
            <w:pPr>
              <w:rPr>
                <w:color w:val="000000" w:themeColor="text1"/>
                <w:sz w:val="20"/>
                <w:szCs w:val="20"/>
              </w:rPr>
            </w:pPr>
            <w:r w:rsidRPr="003F0923">
              <w:rPr>
                <w:color w:val="000000" w:themeColor="text1"/>
                <w:sz w:val="20"/>
                <w:szCs w:val="20"/>
              </w:rPr>
              <w:t>Hannan-Quinn criter.</w:t>
            </w:r>
          </w:p>
        </w:tc>
        <w:tc>
          <w:tcPr>
            <w:tcW w:w="1076" w:type="dxa"/>
            <w:gridSpan w:val="2"/>
            <w:tcBorders>
              <w:top w:val="nil"/>
              <w:left w:val="nil"/>
              <w:bottom w:val="nil"/>
              <w:right w:val="nil"/>
            </w:tcBorders>
            <w:shd w:val="clear" w:color="auto" w:fill="auto"/>
            <w:vAlign w:val="bottom"/>
            <w:hideMark/>
          </w:tcPr>
          <w:p w:rsidR="00425306" w:rsidRPr="003F0923" w:rsidRDefault="00425306" w:rsidP="003F0923">
            <w:pPr>
              <w:jc w:val="right"/>
              <w:rPr>
                <w:color w:val="000000" w:themeColor="text1"/>
                <w:sz w:val="20"/>
                <w:szCs w:val="20"/>
              </w:rPr>
            </w:pPr>
            <w:r w:rsidRPr="003F0923">
              <w:rPr>
                <w:color w:val="000000"/>
                <w:sz w:val="20"/>
                <w:szCs w:val="20"/>
              </w:rPr>
              <w:t>1,065</w:t>
            </w:r>
          </w:p>
        </w:tc>
      </w:tr>
      <w:tr w:rsidR="00425306" w:rsidRPr="000B3A8F" w:rsidTr="003F0923">
        <w:trPr>
          <w:trHeight w:val="128"/>
        </w:trPr>
        <w:tc>
          <w:tcPr>
            <w:tcW w:w="1980" w:type="dxa"/>
            <w:gridSpan w:val="4"/>
            <w:tcBorders>
              <w:top w:val="nil"/>
              <w:left w:val="nil"/>
              <w:bottom w:val="nil"/>
              <w:right w:val="nil"/>
            </w:tcBorders>
            <w:shd w:val="clear" w:color="auto" w:fill="auto"/>
            <w:vAlign w:val="center"/>
            <w:hideMark/>
          </w:tcPr>
          <w:p w:rsidR="00425306" w:rsidRPr="003F0923" w:rsidRDefault="00425306" w:rsidP="003F0923">
            <w:pPr>
              <w:rPr>
                <w:color w:val="000000" w:themeColor="text1"/>
                <w:sz w:val="20"/>
                <w:szCs w:val="20"/>
              </w:rPr>
            </w:pPr>
            <w:r w:rsidRPr="003F0923">
              <w:rPr>
                <w:color w:val="000000" w:themeColor="text1"/>
                <w:sz w:val="20"/>
                <w:szCs w:val="20"/>
              </w:rPr>
              <w:t>F-statistic</w:t>
            </w:r>
          </w:p>
        </w:tc>
        <w:tc>
          <w:tcPr>
            <w:tcW w:w="900" w:type="dxa"/>
            <w:gridSpan w:val="2"/>
            <w:tcBorders>
              <w:top w:val="nil"/>
              <w:left w:val="nil"/>
              <w:bottom w:val="nil"/>
              <w:right w:val="nil"/>
            </w:tcBorders>
            <w:shd w:val="clear" w:color="auto" w:fill="auto"/>
            <w:vAlign w:val="bottom"/>
            <w:hideMark/>
          </w:tcPr>
          <w:p w:rsidR="00425306" w:rsidRPr="003F0923" w:rsidRDefault="00425306" w:rsidP="003F0923">
            <w:pPr>
              <w:jc w:val="right"/>
              <w:rPr>
                <w:color w:val="000000" w:themeColor="text1"/>
                <w:sz w:val="20"/>
                <w:szCs w:val="20"/>
              </w:rPr>
            </w:pPr>
            <w:r w:rsidRPr="003F0923">
              <w:rPr>
                <w:color w:val="000000"/>
                <w:sz w:val="20"/>
                <w:szCs w:val="20"/>
              </w:rPr>
              <w:t>22,421</w:t>
            </w:r>
          </w:p>
        </w:tc>
        <w:tc>
          <w:tcPr>
            <w:tcW w:w="2159" w:type="dxa"/>
            <w:gridSpan w:val="2"/>
            <w:tcBorders>
              <w:top w:val="nil"/>
              <w:left w:val="nil"/>
              <w:bottom w:val="nil"/>
              <w:right w:val="nil"/>
            </w:tcBorders>
            <w:shd w:val="clear" w:color="auto" w:fill="auto"/>
            <w:vAlign w:val="center"/>
            <w:hideMark/>
          </w:tcPr>
          <w:p w:rsidR="00425306" w:rsidRPr="003F0923" w:rsidRDefault="00425306" w:rsidP="003F0923">
            <w:pPr>
              <w:rPr>
                <w:color w:val="000000" w:themeColor="text1"/>
                <w:sz w:val="20"/>
                <w:szCs w:val="20"/>
              </w:rPr>
            </w:pPr>
            <w:r w:rsidRPr="003F0923">
              <w:rPr>
                <w:color w:val="000000" w:themeColor="text1"/>
                <w:sz w:val="20"/>
                <w:szCs w:val="20"/>
              </w:rPr>
              <w:t>Durbin-Watson stat</w:t>
            </w:r>
          </w:p>
        </w:tc>
        <w:tc>
          <w:tcPr>
            <w:tcW w:w="1076" w:type="dxa"/>
            <w:gridSpan w:val="2"/>
            <w:tcBorders>
              <w:top w:val="nil"/>
              <w:left w:val="nil"/>
              <w:bottom w:val="nil"/>
              <w:right w:val="nil"/>
            </w:tcBorders>
            <w:shd w:val="clear" w:color="auto" w:fill="auto"/>
            <w:vAlign w:val="bottom"/>
            <w:hideMark/>
          </w:tcPr>
          <w:p w:rsidR="00425306" w:rsidRPr="003F0923" w:rsidRDefault="00425306" w:rsidP="003F0923">
            <w:pPr>
              <w:jc w:val="right"/>
              <w:rPr>
                <w:color w:val="000000" w:themeColor="text1"/>
                <w:sz w:val="20"/>
                <w:szCs w:val="20"/>
              </w:rPr>
            </w:pPr>
            <w:r w:rsidRPr="003F0923">
              <w:rPr>
                <w:color w:val="000000"/>
                <w:sz w:val="20"/>
                <w:szCs w:val="20"/>
              </w:rPr>
              <w:t>2,025</w:t>
            </w:r>
          </w:p>
        </w:tc>
      </w:tr>
      <w:tr w:rsidR="00425306" w:rsidRPr="000B3A8F" w:rsidTr="003F0923">
        <w:trPr>
          <w:trHeight w:val="70"/>
        </w:trPr>
        <w:tc>
          <w:tcPr>
            <w:tcW w:w="1980" w:type="dxa"/>
            <w:gridSpan w:val="4"/>
            <w:tcBorders>
              <w:top w:val="nil"/>
              <w:left w:val="nil"/>
              <w:bottom w:val="double" w:sz="6" w:space="0" w:color="auto"/>
              <w:right w:val="nil"/>
            </w:tcBorders>
            <w:shd w:val="clear" w:color="auto" w:fill="auto"/>
            <w:vAlign w:val="center"/>
            <w:hideMark/>
          </w:tcPr>
          <w:p w:rsidR="00425306" w:rsidRPr="003F0923" w:rsidRDefault="00425306" w:rsidP="003F0923">
            <w:pPr>
              <w:rPr>
                <w:color w:val="000000" w:themeColor="text1"/>
                <w:sz w:val="20"/>
                <w:szCs w:val="20"/>
              </w:rPr>
            </w:pPr>
            <w:r w:rsidRPr="003F0923">
              <w:rPr>
                <w:color w:val="000000" w:themeColor="text1"/>
                <w:sz w:val="20"/>
                <w:szCs w:val="20"/>
              </w:rPr>
              <w:t>Prob(F-statistic)</w:t>
            </w:r>
          </w:p>
        </w:tc>
        <w:tc>
          <w:tcPr>
            <w:tcW w:w="900" w:type="dxa"/>
            <w:gridSpan w:val="2"/>
            <w:tcBorders>
              <w:top w:val="nil"/>
              <w:left w:val="nil"/>
              <w:bottom w:val="double" w:sz="6" w:space="0" w:color="auto"/>
              <w:right w:val="nil"/>
            </w:tcBorders>
            <w:shd w:val="clear" w:color="auto" w:fill="auto"/>
            <w:vAlign w:val="bottom"/>
            <w:hideMark/>
          </w:tcPr>
          <w:p w:rsidR="00425306" w:rsidRPr="003F0923" w:rsidRDefault="00425306" w:rsidP="003F0923">
            <w:pPr>
              <w:jc w:val="right"/>
              <w:rPr>
                <w:color w:val="000000" w:themeColor="text1"/>
                <w:sz w:val="20"/>
                <w:szCs w:val="20"/>
              </w:rPr>
            </w:pPr>
            <w:r w:rsidRPr="003F0923">
              <w:rPr>
                <w:color w:val="000000"/>
                <w:sz w:val="20"/>
                <w:szCs w:val="20"/>
              </w:rPr>
              <w:t>0,000</w:t>
            </w:r>
          </w:p>
        </w:tc>
        <w:tc>
          <w:tcPr>
            <w:tcW w:w="989" w:type="dxa"/>
            <w:tcBorders>
              <w:top w:val="nil"/>
              <w:left w:val="nil"/>
              <w:bottom w:val="double" w:sz="6" w:space="0" w:color="auto"/>
              <w:right w:val="nil"/>
            </w:tcBorders>
            <w:shd w:val="clear" w:color="auto" w:fill="auto"/>
            <w:vAlign w:val="center"/>
            <w:hideMark/>
          </w:tcPr>
          <w:p w:rsidR="00425306" w:rsidRPr="003F0923" w:rsidRDefault="00425306" w:rsidP="003F0923">
            <w:pPr>
              <w:jc w:val="center"/>
              <w:rPr>
                <w:color w:val="000000" w:themeColor="text1"/>
                <w:sz w:val="20"/>
                <w:szCs w:val="20"/>
              </w:rPr>
            </w:pPr>
            <w:r w:rsidRPr="003F0923">
              <w:rPr>
                <w:color w:val="000000" w:themeColor="text1"/>
                <w:sz w:val="20"/>
                <w:szCs w:val="20"/>
              </w:rPr>
              <w:t> </w:t>
            </w:r>
          </w:p>
        </w:tc>
        <w:tc>
          <w:tcPr>
            <w:tcW w:w="1170" w:type="dxa"/>
            <w:tcBorders>
              <w:top w:val="nil"/>
              <w:left w:val="nil"/>
              <w:bottom w:val="double" w:sz="6" w:space="0" w:color="auto"/>
              <w:right w:val="nil"/>
            </w:tcBorders>
            <w:shd w:val="clear" w:color="auto" w:fill="auto"/>
            <w:vAlign w:val="center"/>
            <w:hideMark/>
          </w:tcPr>
          <w:p w:rsidR="00425306" w:rsidRPr="003F0923" w:rsidRDefault="00425306" w:rsidP="003F0923">
            <w:pPr>
              <w:jc w:val="center"/>
              <w:rPr>
                <w:color w:val="000000" w:themeColor="text1"/>
                <w:sz w:val="20"/>
                <w:szCs w:val="20"/>
              </w:rPr>
            </w:pPr>
            <w:r w:rsidRPr="003F0923">
              <w:rPr>
                <w:color w:val="000000" w:themeColor="text1"/>
                <w:sz w:val="20"/>
                <w:szCs w:val="20"/>
              </w:rPr>
              <w:t> </w:t>
            </w:r>
          </w:p>
        </w:tc>
        <w:tc>
          <w:tcPr>
            <w:tcW w:w="1076" w:type="dxa"/>
            <w:gridSpan w:val="2"/>
            <w:tcBorders>
              <w:top w:val="nil"/>
              <w:left w:val="nil"/>
              <w:bottom w:val="double" w:sz="6" w:space="0" w:color="auto"/>
              <w:right w:val="nil"/>
            </w:tcBorders>
            <w:shd w:val="clear" w:color="auto" w:fill="auto"/>
            <w:vAlign w:val="center"/>
            <w:hideMark/>
          </w:tcPr>
          <w:p w:rsidR="00425306" w:rsidRPr="003F0923" w:rsidRDefault="00425306" w:rsidP="003F0923">
            <w:pPr>
              <w:jc w:val="center"/>
              <w:rPr>
                <w:color w:val="000000" w:themeColor="text1"/>
                <w:sz w:val="20"/>
                <w:szCs w:val="20"/>
              </w:rPr>
            </w:pPr>
            <w:r w:rsidRPr="003F0923">
              <w:rPr>
                <w:color w:val="000000" w:themeColor="text1"/>
                <w:sz w:val="20"/>
                <w:szCs w:val="20"/>
              </w:rPr>
              <w:t> </w:t>
            </w:r>
          </w:p>
        </w:tc>
      </w:tr>
      <w:tr w:rsidR="00410B5D" w:rsidRPr="000B3A8F" w:rsidTr="003F092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29"/>
          <w:jc w:val="center"/>
        </w:trPr>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252FD" w:rsidRPr="003F0923" w:rsidRDefault="006252FD" w:rsidP="003F0923">
            <w:pPr>
              <w:jc w:val="both"/>
              <w:rPr>
                <w:color w:val="000000" w:themeColor="text1"/>
                <w:sz w:val="20"/>
                <w:szCs w:val="20"/>
              </w:rPr>
            </w:pPr>
            <w:bookmarkStart w:id="86" w:name="_Hlk14953693"/>
            <w:bookmarkStart w:id="87" w:name="OLE_LINK628"/>
            <w:bookmarkStart w:id="88" w:name="OLE_LINK629"/>
            <w:bookmarkEnd w:id="76"/>
            <w:bookmarkEnd w:id="77"/>
          </w:p>
        </w:tc>
        <w:tc>
          <w:tcPr>
            <w:tcW w:w="224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252FD" w:rsidRPr="003F0923" w:rsidRDefault="006252FD" w:rsidP="003F0923">
            <w:pPr>
              <w:jc w:val="center"/>
              <w:rPr>
                <w:b/>
                <w:color w:val="000000" w:themeColor="text1"/>
                <w:sz w:val="20"/>
                <w:szCs w:val="20"/>
              </w:rPr>
            </w:pPr>
            <w:r w:rsidRPr="003F0923">
              <w:rPr>
                <w:b/>
                <w:color w:val="000000" w:themeColor="text1"/>
                <w:sz w:val="20"/>
                <w:szCs w:val="20"/>
              </w:rPr>
              <w:t>G = 0</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252FD" w:rsidRPr="003F0923" w:rsidRDefault="006252FD" w:rsidP="003F0923">
            <w:pPr>
              <w:jc w:val="center"/>
              <w:rPr>
                <w:b/>
                <w:color w:val="000000" w:themeColor="text1"/>
                <w:sz w:val="20"/>
                <w:szCs w:val="20"/>
              </w:rPr>
            </w:pPr>
            <w:r w:rsidRPr="003F0923">
              <w:rPr>
                <w:b/>
                <w:color w:val="000000" w:themeColor="text1"/>
                <w:sz w:val="20"/>
                <w:szCs w:val="20"/>
              </w:rPr>
              <w:t>G = 1</w:t>
            </w:r>
          </w:p>
        </w:tc>
      </w:tr>
      <w:tr w:rsidR="00425306" w:rsidRPr="000B3A8F" w:rsidTr="003F092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29"/>
          <w:jc w:val="center"/>
        </w:trPr>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25306" w:rsidRPr="003F0923" w:rsidRDefault="00425306" w:rsidP="003F0923">
            <w:pPr>
              <w:jc w:val="both"/>
              <w:rPr>
                <w:color w:val="000000" w:themeColor="text1"/>
                <w:sz w:val="20"/>
                <w:szCs w:val="20"/>
              </w:rPr>
            </w:pPr>
            <w:r w:rsidRPr="003F0923">
              <w:rPr>
                <w:color w:val="000000" w:themeColor="text1"/>
                <w:sz w:val="20"/>
                <w:szCs w:val="20"/>
              </w:rPr>
              <w:t xml:space="preserve">SR ERPT </w:t>
            </w:r>
          </w:p>
        </w:tc>
        <w:tc>
          <w:tcPr>
            <w:tcW w:w="2249"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425306" w:rsidRPr="003F0923" w:rsidRDefault="00425306" w:rsidP="003F0923">
            <w:pPr>
              <w:jc w:val="center"/>
              <w:rPr>
                <w:color w:val="000000" w:themeColor="text1"/>
                <w:sz w:val="20"/>
                <w:szCs w:val="20"/>
              </w:rPr>
            </w:pPr>
            <w:r w:rsidRPr="003F0923">
              <w:rPr>
                <w:color w:val="000000"/>
                <w:sz w:val="20"/>
                <w:szCs w:val="20"/>
              </w:rPr>
              <w:t>0,010</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25306" w:rsidRPr="003F0923" w:rsidRDefault="00425306" w:rsidP="003F0923">
            <w:pPr>
              <w:jc w:val="center"/>
              <w:rPr>
                <w:color w:val="000000" w:themeColor="text1"/>
                <w:sz w:val="20"/>
                <w:szCs w:val="20"/>
              </w:rPr>
            </w:pPr>
            <w:r w:rsidRPr="003F0923">
              <w:rPr>
                <w:color w:val="000000"/>
                <w:sz w:val="20"/>
                <w:szCs w:val="20"/>
              </w:rPr>
              <w:t>0,100</w:t>
            </w:r>
          </w:p>
        </w:tc>
      </w:tr>
      <w:tr w:rsidR="00425306" w:rsidRPr="000B3A8F" w:rsidTr="003F092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29"/>
          <w:jc w:val="center"/>
        </w:trPr>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306" w:rsidRPr="003F0923" w:rsidRDefault="00425306" w:rsidP="003F0923">
            <w:pPr>
              <w:rPr>
                <w:i/>
                <w:color w:val="000000" w:themeColor="text1"/>
                <w:sz w:val="20"/>
                <w:szCs w:val="20"/>
              </w:rPr>
            </w:pPr>
            <w:r w:rsidRPr="003F0923">
              <w:rPr>
                <w:i/>
                <w:color w:val="000000" w:themeColor="text1"/>
                <w:sz w:val="20"/>
                <w:szCs w:val="20"/>
              </w:rPr>
              <w:t>p_value</w:t>
            </w:r>
          </w:p>
        </w:tc>
        <w:tc>
          <w:tcPr>
            <w:tcW w:w="224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5306" w:rsidRPr="003F0923" w:rsidRDefault="00425306" w:rsidP="003F0923">
            <w:pPr>
              <w:jc w:val="center"/>
              <w:rPr>
                <w:i/>
                <w:color w:val="000000" w:themeColor="text1"/>
                <w:sz w:val="20"/>
                <w:szCs w:val="20"/>
              </w:rPr>
            </w:pPr>
            <w:r w:rsidRPr="003F0923">
              <w:rPr>
                <w:i/>
                <w:color w:val="000000" w:themeColor="text1"/>
                <w:sz w:val="20"/>
                <w:szCs w:val="20"/>
              </w:rPr>
              <w:t>0,855</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306" w:rsidRPr="003F0923" w:rsidRDefault="00425306" w:rsidP="003F0923">
            <w:pPr>
              <w:jc w:val="center"/>
              <w:rPr>
                <w:i/>
                <w:color w:val="000000" w:themeColor="text1"/>
                <w:sz w:val="20"/>
                <w:szCs w:val="20"/>
              </w:rPr>
            </w:pPr>
            <w:r w:rsidRPr="003F0923">
              <w:rPr>
                <w:i/>
                <w:color w:val="000000" w:themeColor="text1"/>
                <w:sz w:val="20"/>
                <w:szCs w:val="20"/>
              </w:rPr>
              <w:t>0,044</w:t>
            </w:r>
          </w:p>
        </w:tc>
      </w:tr>
      <w:tr w:rsidR="00425306" w:rsidRPr="000B3A8F" w:rsidTr="003F092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29"/>
          <w:jc w:val="center"/>
        </w:trPr>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25306" w:rsidRPr="003F0923" w:rsidRDefault="00425306" w:rsidP="003F0923">
            <w:pPr>
              <w:jc w:val="both"/>
              <w:rPr>
                <w:color w:val="000000" w:themeColor="text1"/>
                <w:sz w:val="20"/>
                <w:szCs w:val="20"/>
              </w:rPr>
            </w:pPr>
            <w:r w:rsidRPr="003F0923">
              <w:rPr>
                <w:color w:val="000000" w:themeColor="text1"/>
                <w:sz w:val="20"/>
                <w:szCs w:val="20"/>
              </w:rPr>
              <w:t>LR ERPT</w:t>
            </w:r>
          </w:p>
        </w:tc>
        <w:tc>
          <w:tcPr>
            <w:tcW w:w="2249"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425306" w:rsidRPr="003F0923" w:rsidRDefault="00425306" w:rsidP="003F0923">
            <w:pPr>
              <w:jc w:val="center"/>
              <w:rPr>
                <w:color w:val="000000" w:themeColor="text1"/>
                <w:sz w:val="20"/>
                <w:szCs w:val="20"/>
              </w:rPr>
            </w:pPr>
            <w:r w:rsidRPr="003F0923">
              <w:rPr>
                <w:color w:val="000000"/>
                <w:sz w:val="20"/>
                <w:szCs w:val="20"/>
              </w:rPr>
              <w:t>-0,483</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25306" w:rsidRPr="003F0923" w:rsidRDefault="00425306" w:rsidP="003F0923">
            <w:pPr>
              <w:jc w:val="center"/>
              <w:rPr>
                <w:color w:val="000000" w:themeColor="text1"/>
                <w:sz w:val="20"/>
                <w:szCs w:val="20"/>
              </w:rPr>
            </w:pPr>
            <w:r w:rsidRPr="003F0923">
              <w:rPr>
                <w:color w:val="000000"/>
                <w:sz w:val="20"/>
                <w:szCs w:val="20"/>
              </w:rPr>
              <w:t>1,396</w:t>
            </w:r>
          </w:p>
        </w:tc>
      </w:tr>
      <w:tr w:rsidR="00425306" w:rsidRPr="000B3A8F" w:rsidTr="003F092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21"/>
          <w:jc w:val="center"/>
        </w:trPr>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306" w:rsidRPr="003F0923" w:rsidRDefault="00425306" w:rsidP="003F0923">
            <w:pPr>
              <w:jc w:val="both"/>
              <w:rPr>
                <w:i/>
                <w:color w:val="000000" w:themeColor="text1"/>
                <w:sz w:val="20"/>
                <w:szCs w:val="20"/>
              </w:rPr>
            </w:pPr>
            <w:r w:rsidRPr="003F0923">
              <w:rPr>
                <w:i/>
                <w:color w:val="000000" w:themeColor="text1"/>
                <w:sz w:val="20"/>
                <w:szCs w:val="20"/>
              </w:rPr>
              <w:t>p_value</w:t>
            </w:r>
          </w:p>
        </w:tc>
        <w:tc>
          <w:tcPr>
            <w:tcW w:w="224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5306" w:rsidRPr="003F0923" w:rsidRDefault="00425306" w:rsidP="003F0923">
            <w:pPr>
              <w:jc w:val="center"/>
              <w:rPr>
                <w:i/>
                <w:color w:val="000000" w:themeColor="text1"/>
                <w:sz w:val="20"/>
                <w:szCs w:val="20"/>
              </w:rPr>
            </w:pPr>
            <w:r w:rsidRPr="003F0923">
              <w:rPr>
                <w:i/>
                <w:color w:val="000000" w:themeColor="text1"/>
                <w:sz w:val="20"/>
                <w:szCs w:val="20"/>
              </w:rPr>
              <w:t>0,193</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306" w:rsidRPr="003F0923" w:rsidRDefault="00425306" w:rsidP="003F0923">
            <w:pPr>
              <w:jc w:val="center"/>
              <w:rPr>
                <w:i/>
                <w:color w:val="000000" w:themeColor="text1"/>
                <w:sz w:val="20"/>
                <w:szCs w:val="20"/>
              </w:rPr>
            </w:pPr>
            <w:r w:rsidRPr="003F0923">
              <w:rPr>
                <w:i/>
                <w:color w:val="000000" w:themeColor="text1"/>
                <w:sz w:val="20"/>
                <w:szCs w:val="20"/>
              </w:rPr>
              <w:t>0,032</w:t>
            </w:r>
          </w:p>
        </w:tc>
      </w:tr>
    </w:tbl>
    <w:bookmarkEnd w:id="86"/>
    <w:bookmarkEnd w:id="87"/>
    <w:bookmarkEnd w:id="88"/>
    <w:p w:rsidR="00425306" w:rsidRPr="000B3A8F" w:rsidRDefault="00425306" w:rsidP="000B3A8F">
      <w:pPr>
        <w:autoSpaceDE w:val="0"/>
        <w:autoSpaceDN w:val="0"/>
        <w:adjustRightInd w:val="0"/>
        <w:spacing w:line="340" w:lineRule="exact"/>
        <w:jc w:val="both"/>
        <w:rPr>
          <w:color w:val="000000" w:themeColor="text1"/>
          <w:sz w:val="22"/>
          <w:szCs w:val="22"/>
        </w:rPr>
      </w:pPr>
      <w:r w:rsidRPr="000B3A8F">
        <w:rPr>
          <w:color w:val="000000" w:themeColor="text1"/>
          <w:sz w:val="22"/>
          <w:szCs w:val="22"/>
        </w:rPr>
        <w:t xml:space="preserve">Results from the study show that exchange rate pass-through has a positive relationship </w:t>
      </w:r>
      <w:r w:rsidR="00870A09" w:rsidRPr="000B3A8F">
        <w:rPr>
          <w:color w:val="000000" w:themeColor="text1"/>
          <w:sz w:val="22"/>
          <w:szCs w:val="22"/>
        </w:rPr>
        <w:t>with</w:t>
      </w:r>
      <w:r w:rsidRPr="000B3A8F">
        <w:rPr>
          <w:color w:val="000000" w:themeColor="text1"/>
          <w:sz w:val="22"/>
          <w:szCs w:val="22"/>
        </w:rPr>
        <w:t xml:space="preserve"> the inflationary </w:t>
      </w:r>
      <w:r w:rsidR="00870A09" w:rsidRPr="000B3A8F">
        <w:rPr>
          <w:color w:val="000000" w:themeColor="text1"/>
          <w:sz w:val="22"/>
          <w:szCs w:val="22"/>
        </w:rPr>
        <w:t>stages</w:t>
      </w:r>
      <w:r w:rsidRPr="000B3A8F">
        <w:rPr>
          <w:color w:val="000000" w:themeColor="text1"/>
          <w:sz w:val="22"/>
          <w:szCs w:val="22"/>
        </w:rPr>
        <w:t xml:space="preserve"> in Vietnam. Specifically, when the inflation rate in the economy exceeds the threshold of 1.195% / month, the pass-through increases to 0.1 in th</w:t>
      </w:r>
      <w:r w:rsidR="00870A09" w:rsidRPr="000B3A8F">
        <w:rPr>
          <w:color w:val="000000" w:themeColor="text1"/>
          <w:sz w:val="22"/>
          <w:szCs w:val="22"/>
        </w:rPr>
        <w:t>e short-term and 1.39 in the long-</w:t>
      </w:r>
      <w:r w:rsidRPr="000B3A8F">
        <w:rPr>
          <w:color w:val="000000" w:themeColor="text1"/>
          <w:sz w:val="22"/>
          <w:szCs w:val="22"/>
        </w:rPr>
        <w:t>term.</w:t>
      </w:r>
    </w:p>
    <w:p w:rsidR="00425306" w:rsidRPr="000B3A8F" w:rsidRDefault="00870A09" w:rsidP="000B3A8F">
      <w:pPr>
        <w:autoSpaceDE w:val="0"/>
        <w:autoSpaceDN w:val="0"/>
        <w:adjustRightInd w:val="0"/>
        <w:spacing w:line="340" w:lineRule="exact"/>
        <w:jc w:val="both"/>
        <w:rPr>
          <w:color w:val="000000" w:themeColor="text1"/>
          <w:sz w:val="22"/>
          <w:szCs w:val="22"/>
        </w:rPr>
      </w:pPr>
      <w:r w:rsidRPr="000B3A8F">
        <w:rPr>
          <w:color w:val="000000" w:themeColor="text1"/>
          <w:sz w:val="22"/>
          <w:szCs w:val="22"/>
        </w:rPr>
        <w:t>In the short-</w:t>
      </w:r>
      <w:r w:rsidR="00425306" w:rsidRPr="000B3A8F">
        <w:rPr>
          <w:color w:val="000000" w:themeColor="text1"/>
          <w:sz w:val="22"/>
          <w:szCs w:val="22"/>
        </w:rPr>
        <w:t xml:space="preserve">term, the ERPT </w:t>
      </w:r>
      <w:r w:rsidR="0016663B" w:rsidRPr="000B3A8F">
        <w:rPr>
          <w:color w:val="000000" w:themeColor="text1"/>
          <w:sz w:val="22"/>
          <w:szCs w:val="22"/>
        </w:rPr>
        <w:t>is positive</w:t>
      </w:r>
      <w:r w:rsidR="00425306" w:rsidRPr="000B3A8F">
        <w:rPr>
          <w:color w:val="000000" w:themeColor="text1"/>
          <w:sz w:val="22"/>
          <w:szCs w:val="22"/>
        </w:rPr>
        <w:t xml:space="preserve"> with the inflation rate but </w:t>
      </w:r>
      <w:r w:rsidR="0016663B" w:rsidRPr="000B3A8F">
        <w:rPr>
          <w:color w:val="000000" w:themeColor="text1"/>
          <w:sz w:val="22"/>
          <w:szCs w:val="22"/>
        </w:rPr>
        <w:t>with</w:t>
      </w:r>
      <w:r w:rsidR="00425306" w:rsidRPr="000B3A8F">
        <w:rPr>
          <w:color w:val="000000" w:themeColor="text1"/>
          <w:sz w:val="22"/>
          <w:szCs w:val="22"/>
        </w:rPr>
        <w:t xml:space="preserve"> small value </w:t>
      </w:r>
      <w:r w:rsidR="0016663B" w:rsidRPr="000B3A8F">
        <w:rPr>
          <w:color w:val="000000" w:themeColor="text1"/>
          <w:sz w:val="22"/>
          <w:szCs w:val="22"/>
        </w:rPr>
        <w:t>that</w:t>
      </w:r>
      <w:r w:rsidR="00425306" w:rsidRPr="000B3A8F">
        <w:rPr>
          <w:color w:val="000000" w:themeColor="text1"/>
          <w:sz w:val="22"/>
          <w:szCs w:val="22"/>
        </w:rPr>
        <w:t xml:space="preserve"> come from the inflation stabilization policies that the Government has pursued during the past time.</w:t>
      </w:r>
    </w:p>
    <w:p w:rsidR="00A33EFE" w:rsidRPr="000B3A8F" w:rsidRDefault="00425306" w:rsidP="000B3A8F">
      <w:pPr>
        <w:autoSpaceDE w:val="0"/>
        <w:autoSpaceDN w:val="0"/>
        <w:adjustRightInd w:val="0"/>
        <w:spacing w:line="340" w:lineRule="exact"/>
        <w:jc w:val="both"/>
        <w:rPr>
          <w:color w:val="000000" w:themeColor="text1"/>
          <w:sz w:val="22"/>
          <w:szCs w:val="22"/>
        </w:rPr>
      </w:pPr>
      <w:r w:rsidRPr="000B3A8F">
        <w:rPr>
          <w:color w:val="000000" w:themeColor="text1"/>
          <w:sz w:val="22"/>
          <w:szCs w:val="22"/>
        </w:rPr>
        <w:t>Long-term results in Vietnam provide evidence consistent with Taylor's (2000) hypothesis of a positive relationship between exchange rate pass-through and the inflationary environment. This shows that when inflation</w:t>
      </w:r>
      <w:r w:rsidR="0016663B" w:rsidRPr="000B3A8F">
        <w:rPr>
          <w:color w:val="000000" w:themeColor="text1"/>
          <w:sz w:val="22"/>
          <w:szCs w:val="22"/>
        </w:rPr>
        <w:t xml:space="preserve"> level</w:t>
      </w:r>
      <w:r w:rsidRPr="000B3A8F">
        <w:rPr>
          <w:color w:val="000000" w:themeColor="text1"/>
          <w:sz w:val="22"/>
          <w:szCs w:val="22"/>
        </w:rPr>
        <w:t xml:space="preserve"> is below the threshold, importers in Vietnam will absorb changes in exchange rates leading to low pass-through. </w:t>
      </w:r>
      <w:r w:rsidR="0016663B" w:rsidRPr="000B3A8F">
        <w:rPr>
          <w:color w:val="000000" w:themeColor="text1"/>
          <w:sz w:val="22"/>
          <w:szCs w:val="22"/>
        </w:rPr>
        <w:t>However,</w:t>
      </w:r>
      <w:r w:rsidRPr="000B3A8F">
        <w:rPr>
          <w:color w:val="000000" w:themeColor="text1"/>
          <w:sz w:val="22"/>
          <w:szCs w:val="22"/>
        </w:rPr>
        <w:t xml:space="preserve"> in a high inflation environment they will translate changes in exchange rates into selling prices, which causes pass-through to increase over time.</w:t>
      </w:r>
    </w:p>
    <w:p w:rsidR="00BB2AC3" w:rsidRDefault="00E8463A" w:rsidP="000B3A8F">
      <w:pPr>
        <w:pStyle w:val="Heading2"/>
        <w:spacing w:line="340" w:lineRule="exact"/>
        <w:rPr>
          <w:rFonts w:ascii="Times New Roman" w:hAnsi="Times New Roman" w:cs="Times New Roman"/>
          <w:b/>
          <w:color w:val="auto"/>
          <w:sz w:val="22"/>
          <w:szCs w:val="22"/>
        </w:rPr>
      </w:pPr>
      <w:bookmarkStart w:id="89" w:name="OLE_LINK1009"/>
      <w:bookmarkStart w:id="90" w:name="OLE_LINK1010"/>
      <w:r w:rsidRPr="000B3A8F">
        <w:rPr>
          <w:rFonts w:ascii="Times New Roman" w:hAnsi="Times New Roman" w:cs="Times New Roman"/>
          <w:b/>
          <w:color w:val="auto"/>
          <w:sz w:val="22"/>
          <w:szCs w:val="22"/>
        </w:rPr>
        <w:t xml:space="preserve">4.2 </w:t>
      </w:r>
      <w:r w:rsidR="00D5505E" w:rsidRPr="000B3A8F">
        <w:rPr>
          <w:rFonts w:ascii="Times New Roman" w:hAnsi="Times New Roman" w:cs="Times New Roman"/>
          <w:b/>
          <w:color w:val="auto"/>
          <w:sz w:val="22"/>
          <w:szCs w:val="22"/>
        </w:rPr>
        <w:t>Exchange rate as a transition</w:t>
      </w:r>
      <w:r w:rsidR="00C17784" w:rsidRPr="000B3A8F">
        <w:rPr>
          <w:rFonts w:ascii="Times New Roman" w:hAnsi="Times New Roman" w:cs="Times New Roman"/>
          <w:b/>
          <w:color w:val="auto"/>
          <w:sz w:val="22"/>
          <w:szCs w:val="22"/>
        </w:rPr>
        <w:t xml:space="preserve"> variable</w:t>
      </w:r>
      <w:bookmarkEnd w:id="89"/>
      <w:bookmarkEnd w:id="90"/>
    </w:p>
    <w:p w:rsidR="003F0923" w:rsidRPr="000B3A8F" w:rsidRDefault="003F0923" w:rsidP="003F0923">
      <w:pPr>
        <w:spacing w:line="340" w:lineRule="exact"/>
        <w:jc w:val="both"/>
        <w:rPr>
          <w:color w:val="000000" w:themeColor="text1"/>
          <w:sz w:val="22"/>
          <w:szCs w:val="22"/>
        </w:rPr>
      </w:pPr>
      <w:r w:rsidRPr="000B3A8F">
        <w:rPr>
          <w:color w:val="000000" w:themeColor="text1"/>
          <w:sz w:val="22"/>
          <w:szCs w:val="22"/>
        </w:rPr>
        <w:t xml:space="preserve">The results show that evidence of a change in the exchange rate has an inverse relationship with exchange rate pass-through. In the short-term, when the exchange rate fluctuates low and is above the threshold of 0.094% / month, the ERPT pass-through is 0.115 and falls to -0,291. In the long term, the results show that when the exchange rate </w:t>
      </w:r>
      <w:r w:rsidRPr="000B3A8F">
        <w:rPr>
          <w:color w:val="000000" w:themeColor="text1"/>
          <w:sz w:val="22"/>
          <w:szCs w:val="22"/>
        </w:rPr>
        <w:lastRenderedPageBreak/>
        <w:t>fluctuates below and above the threshold, the cumulative pass-through is 1.079 versus -0.994, respectively.</w:t>
      </w:r>
    </w:p>
    <w:p w:rsidR="00BB2AC3" w:rsidRPr="000B3A8F" w:rsidRDefault="006949E5" w:rsidP="003F0923">
      <w:pPr>
        <w:spacing w:line="340" w:lineRule="exact"/>
        <w:jc w:val="center"/>
        <w:rPr>
          <w:b/>
          <w:color w:val="000000" w:themeColor="text1"/>
          <w:sz w:val="22"/>
          <w:szCs w:val="22"/>
        </w:rPr>
      </w:pPr>
      <w:bookmarkStart w:id="91" w:name="OLE_LINK251"/>
      <w:bookmarkStart w:id="92" w:name="OLE_LINK252"/>
      <w:r w:rsidRPr="000B3A8F">
        <w:rPr>
          <w:b/>
          <w:color w:val="000000" w:themeColor="text1"/>
          <w:sz w:val="22"/>
          <w:szCs w:val="22"/>
        </w:rPr>
        <w:t>Table</w:t>
      </w:r>
      <w:r w:rsidR="00BB2AC3" w:rsidRPr="000B3A8F">
        <w:rPr>
          <w:b/>
          <w:color w:val="000000" w:themeColor="text1"/>
          <w:sz w:val="22"/>
          <w:szCs w:val="22"/>
        </w:rPr>
        <w:t xml:space="preserve"> 4.13: </w:t>
      </w:r>
      <w:r w:rsidR="00D947AF" w:rsidRPr="000B3A8F">
        <w:rPr>
          <w:b/>
          <w:color w:val="000000" w:themeColor="text1"/>
          <w:sz w:val="22"/>
          <w:szCs w:val="22"/>
        </w:rPr>
        <w:t>Result with e</w:t>
      </w:r>
      <w:r w:rsidRPr="000B3A8F">
        <w:rPr>
          <w:b/>
          <w:color w:val="000000" w:themeColor="text1"/>
          <w:sz w:val="22"/>
          <w:szCs w:val="22"/>
        </w:rPr>
        <w:t>xchange rate as a transition variable</w:t>
      </w:r>
    </w:p>
    <w:tbl>
      <w:tblPr>
        <w:tblW w:w="6131" w:type="dxa"/>
        <w:tblLayout w:type="fixed"/>
        <w:tblLook w:val="04A0" w:firstRow="1" w:lastRow="0" w:firstColumn="1" w:lastColumn="0" w:noHBand="0" w:noVBand="1"/>
      </w:tblPr>
      <w:tblGrid>
        <w:gridCol w:w="1061"/>
        <w:gridCol w:w="21"/>
        <w:gridCol w:w="541"/>
        <w:gridCol w:w="361"/>
        <w:gridCol w:w="541"/>
        <w:gridCol w:w="361"/>
        <w:gridCol w:w="992"/>
        <w:gridCol w:w="1173"/>
        <w:gridCol w:w="1074"/>
        <w:gridCol w:w="6"/>
      </w:tblGrid>
      <w:tr w:rsidR="0011126B" w:rsidRPr="003F0923" w:rsidTr="00552A39">
        <w:trPr>
          <w:trHeight w:val="161"/>
        </w:trPr>
        <w:tc>
          <w:tcPr>
            <w:tcW w:w="1062" w:type="dxa"/>
            <w:tcBorders>
              <w:top w:val="double" w:sz="6" w:space="0" w:color="auto"/>
              <w:left w:val="nil"/>
              <w:bottom w:val="double" w:sz="6" w:space="0" w:color="auto"/>
              <w:right w:val="nil"/>
            </w:tcBorders>
            <w:shd w:val="clear" w:color="auto" w:fill="auto"/>
            <w:vAlign w:val="bottom"/>
            <w:hideMark/>
          </w:tcPr>
          <w:p w:rsidR="0011126B" w:rsidRPr="003F0923" w:rsidRDefault="0011126B" w:rsidP="003F0923">
            <w:pPr>
              <w:autoSpaceDE w:val="0"/>
              <w:autoSpaceDN w:val="0"/>
              <w:adjustRightInd w:val="0"/>
              <w:jc w:val="center"/>
              <w:rPr>
                <w:b/>
                <w:color w:val="000000" w:themeColor="text1"/>
                <w:sz w:val="20"/>
                <w:szCs w:val="20"/>
              </w:rPr>
            </w:pPr>
            <w:bookmarkStart w:id="93" w:name="OLE_LINK1063"/>
            <w:bookmarkStart w:id="94" w:name="OLE_LINK1064"/>
            <w:r w:rsidRPr="003F0923">
              <w:rPr>
                <w:b/>
                <w:color w:val="000000" w:themeColor="text1"/>
                <w:sz w:val="20"/>
                <w:szCs w:val="20"/>
              </w:rPr>
              <w:t>Variable</w:t>
            </w:r>
          </w:p>
        </w:tc>
        <w:tc>
          <w:tcPr>
            <w:tcW w:w="1464" w:type="dxa"/>
            <w:gridSpan w:val="4"/>
            <w:tcBorders>
              <w:top w:val="double" w:sz="6" w:space="0" w:color="auto"/>
              <w:left w:val="nil"/>
              <w:bottom w:val="double" w:sz="6" w:space="0" w:color="auto"/>
              <w:right w:val="nil"/>
            </w:tcBorders>
            <w:shd w:val="clear" w:color="auto" w:fill="auto"/>
            <w:vAlign w:val="bottom"/>
            <w:hideMark/>
          </w:tcPr>
          <w:p w:rsidR="0011126B" w:rsidRPr="003F0923" w:rsidRDefault="0011126B" w:rsidP="003F0923">
            <w:pPr>
              <w:autoSpaceDE w:val="0"/>
              <w:autoSpaceDN w:val="0"/>
              <w:adjustRightInd w:val="0"/>
              <w:ind w:right="10"/>
              <w:jc w:val="right"/>
              <w:rPr>
                <w:b/>
                <w:color w:val="000000" w:themeColor="text1"/>
                <w:sz w:val="20"/>
                <w:szCs w:val="20"/>
              </w:rPr>
            </w:pPr>
            <w:r w:rsidRPr="003F0923">
              <w:rPr>
                <w:b/>
                <w:color w:val="000000" w:themeColor="text1"/>
                <w:sz w:val="20"/>
                <w:szCs w:val="20"/>
              </w:rPr>
              <w:t>Coefficient</w:t>
            </w:r>
          </w:p>
        </w:tc>
        <w:tc>
          <w:tcPr>
            <w:tcW w:w="1353" w:type="dxa"/>
            <w:gridSpan w:val="2"/>
            <w:tcBorders>
              <w:top w:val="double" w:sz="6" w:space="0" w:color="auto"/>
              <w:left w:val="nil"/>
              <w:bottom w:val="double" w:sz="6" w:space="0" w:color="auto"/>
              <w:right w:val="nil"/>
            </w:tcBorders>
            <w:shd w:val="clear" w:color="auto" w:fill="auto"/>
            <w:vAlign w:val="bottom"/>
            <w:hideMark/>
          </w:tcPr>
          <w:p w:rsidR="0011126B" w:rsidRPr="003F0923" w:rsidRDefault="0011126B" w:rsidP="003F0923">
            <w:pPr>
              <w:autoSpaceDE w:val="0"/>
              <w:autoSpaceDN w:val="0"/>
              <w:adjustRightInd w:val="0"/>
              <w:ind w:right="10"/>
              <w:jc w:val="right"/>
              <w:rPr>
                <w:b/>
                <w:color w:val="000000" w:themeColor="text1"/>
                <w:sz w:val="20"/>
                <w:szCs w:val="20"/>
              </w:rPr>
            </w:pPr>
            <w:r w:rsidRPr="003F0923">
              <w:rPr>
                <w:b/>
                <w:color w:val="000000" w:themeColor="text1"/>
                <w:sz w:val="20"/>
                <w:szCs w:val="20"/>
              </w:rPr>
              <w:t>Std. Error</w:t>
            </w:r>
          </w:p>
        </w:tc>
        <w:tc>
          <w:tcPr>
            <w:tcW w:w="1173" w:type="dxa"/>
            <w:tcBorders>
              <w:top w:val="double" w:sz="6" w:space="0" w:color="auto"/>
              <w:left w:val="nil"/>
              <w:bottom w:val="double" w:sz="6" w:space="0" w:color="auto"/>
              <w:right w:val="nil"/>
            </w:tcBorders>
            <w:shd w:val="clear" w:color="auto" w:fill="auto"/>
            <w:vAlign w:val="bottom"/>
            <w:hideMark/>
          </w:tcPr>
          <w:p w:rsidR="0011126B" w:rsidRPr="003F0923" w:rsidRDefault="0011126B" w:rsidP="003F0923">
            <w:pPr>
              <w:autoSpaceDE w:val="0"/>
              <w:autoSpaceDN w:val="0"/>
              <w:adjustRightInd w:val="0"/>
              <w:ind w:right="10"/>
              <w:jc w:val="right"/>
              <w:rPr>
                <w:b/>
                <w:color w:val="000000" w:themeColor="text1"/>
                <w:sz w:val="20"/>
                <w:szCs w:val="20"/>
              </w:rPr>
            </w:pPr>
            <w:r w:rsidRPr="003F0923">
              <w:rPr>
                <w:b/>
                <w:color w:val="000000" w:themeColor="text1"/>
                <w:sz w:val="20"/>
                <w:szCs w:val="20"/>
              </w:rPr>
              <w:t>t-Statistic</w:t>
            </w:r>
          </w:p>
        </w:tc>
        <w:tc>
          <w:tcPr>
            <w:tcW w:w="1079" w:type="dxa"/>
            <w:gridSpan w:val="2"/>
            <w:tcBorders>
              <w:top w:val="double" w:sz="6" w:space="0" w:color="auto"/>
              <w:left w:val="nil"/>
              <w:bottom w:val="double" w:sz="6" w:space="0" w:color="auto"/>
              <w:right w:val="nil"/>
            </w:tcBorders>
            <w:shd w:val="clear" w:color="auto" w:fill="auto"/>
            <w:vAlign w:val="bottom"/>
            <w:hideMark/>
          </w:tcPr>
          <w:p w:rsidR="0011126B" w:rsidRPr="003F0923" w:rsidRDefault="0011126B" w:rsidP="003F0923">
            <w:pPr>
              <w:autoSpaceDE w:val="0"/>
              <w:autoSpaceDN w:val="0"/>
              <w:adjustRightInd w:val="0"/>
              <w:ind w:right="10"/>
              <w:jc w:val="right"/>
              <w:rPr>
                <w:b/>
                <w:color w:val="000000" w:themeColor="text1"/>
                <w:sz w:val="20"/>
                <w:szCs w:val="20"/>
              </w:rPr>
            </w:pPr>
            <w:r w:rsidRPr="003F0923">
              <w:rPr>
                <w:b/>
                <w:color w:val="000000" w:themeColor="text1"/>
                <w:sz w:val="20"/>
                <w:szCs w:val="20"/>
              </w:rPr>
              <w:t>Prob.  </w:t>
            </w:r>
          </w:p>
        </w:tc>
      </w:tr>
      <w:tr w:rsidR="0011126B" w:rsidRPr="003F0923" w:rsidTr="00552A39">
        <w:trPr>
          <w:gridAfter w:val="1"/>
          <w:wAfter w:w="5" w:type="dxa"/>
          <w:trHeight w:val="128"/>
        </w:trPr>
        <w:tc>
          <w:tcPr>
            <w:tcW w:w="6126" w:type="dxa"/>
            <w:gridSpan w:val="9"/>
            <w:tcBorders>
              <w:top w:val="nil"/>
              <w:left w:val="nil"/>
              <w:bottom w:val="double" w:sz="6" w:space="0" w:color="auto"/>
              <w:right w:val="nil"/>
            </w:tcBorders>
            <w:shd w:val="clear" w:color="auto" w:fill="auto"/>
            <w:vAlign w:val="center"/>
            <w:hideMark/>
          </w:tcPr>
          <w:p w:rsidR="0011126B" w:rsidRPr="003F0923" w:rsidRDefault="0011126B" w:rsidP="003F0923">
            <w:pPr>
              <w:jc w:val="center"/>
              <w:rPr>
                <w:b/>
                <w:bCs/>
                <w:color w:val="000000" w:themeColor="text1"/>
                <w:sz w:val="20"/>
                <w:szCs w:val="20"/>
              </w:rPr>
            </w:pPr>
            <w:r w:rsidRPr="003F0923">
              <w:rPr>
                <w:b/>
                <w:color w:val="000000" w:themeColor="text1"/>
                <w:sz w:val="20"/>
                <w:szCs w:val="20"/>
              </w:rPr>
              <w:t>Threshold Variables (linear part) G = 0</w:t>
            </w:r>
          </w:p>
        </w:tc>
      </w:tr>
      <w:tr w:rsidR="00D947AF" w:rsidRPr="003F0923" w:rsidTr="00552A39">
        <w:trPr>
          <w:trHeight w:val="128"/>
        </w:trPr>
        <w:tc>
          <w:tcPr>
            <w:tcW w:w="1062" w:type="dxa"/>
            <w:tcBorders>
              <w:top w:val="nil"/>
              <w:left w:val="nil"/>
              <w:bottom w:val="nil"/>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c</w:t>
            </w:r>
          </w:p>
        </w:tc>
        <w:tc>
          <w:tcPr>
            <w:tcW w:w="1464" w:type="dxa"/>
            <w:gridSpan w:val="4"/>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0,068</w:t>
            </w:r>
          </w:p>
        </w:tc>
        <w:tc>
          <w:tcPr>
            <w:tcW w:w="1353"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0,050</w:t>
            </w:r>
          </w:p>
        </w:tc>
        <w:tc>
          <w:tcPr>
            <w:tcW w:w="1173" w:type="dxa"/>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1,370</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0,172</w:t>
            </w:r>
          </w:p>
        </w:tc>
      </w:tr>
      <w:tr w:rsidR="00D947AF" w:rsidRPr="003F0923" w:rsidTr="00552A39">
        <w:trPr>
          <w:trHeight w:val="123"/>
        </w:trPr>
        <w:tc>
          <w:tcPr>
            <w:tcW w:w="1062" w:type="dxa"/>
            <w:tcBorders>
              <w:top w:val="nil"/>
              <w:left w:val="nil"/>
              <w:bottom w:val="nil"/>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er</w:t>
            </w:r>
          </w:p>
        </w:tc>
        <w:tc>
          <w:tcPr>
            <w:tcW w:w="1464" w:type="dxa"/>
            <w:gridSpan w:val="4"/>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0,115</w:t>
            </w:r>
          </w:p>
        </w:tc>
        <w:tc>
          <w:tcPr>
            <w:tcW w:w="1353"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0,041</w:t>
            </w:r>
          </w:p>
        </w:tc>
        <w:tc>
          <w:tcPr>
            <w:tcW w:w="1173" w:type="dxa"/>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2,775</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0,006</w:t>
            </w:r>
          </w:p>
        </w:tc>
      </w:tr>
      <w:tr w:rsidR="00D947AF" w:rsidRPr="003F0923" w:rsidTr="00552A39">
        <w:trPr>
          <w:trHeight w:val="123"/>
        </w:trPr>
        <w:tc>
          <w:tcPr>
            <w:tcW w:w="1062" w:type="dxa"/>
            <w:tcBorders>
              <w:top w:val="nil"/>
              <w:left w:val="nil"/>
              <w:bottom w:val="nil"/>
              <w:right w:val="nil"/>
            </w:tcBorders>
            <w:shd w:val="clear" w:color="auto" w:fill="auto"/>
            <w:vAlign w:val="center"/>
          </w:tcPr>
          <w:p w:rsidR="00D947AF" w:rsidRPr="003F0923" w:rsidRDefault="00D947AF" w:rsidP="003F0923">
            <w:pPr>
              <w:jc w:val="center"/>
              <w:rPr>
                <w:color w:val="000000" w:themeColor="text1"/>
                <w:sz w:val="20"/>
                <w:szCs w:val="20"/>
              </w:rPr>
            </w:pPr>
            <w:r w:rsidRPr="003F0923">
              <w:rPr>
                <w:color w:val="000000" w:themeColor="text1"/>
                <w:sz w:val="20"/>
                <w:szCs w:val="20"/>
              </w:rPr>
              <w:t>er (-1)</w:t>
            </w:r>
          </w:p>
        </w:tc>
        <w:tc>
          <w:tcPr>
            <w:tcW w:w="1464" w:type="dxa"/>
            <w:gridSpan w:val="4"/>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0,225</w:t>
            </w:r>
          </w:p>
        </w:tc>
        <w:tc>
          <w:tcPr>
            <w:tcW w:w="1353" w:type="dxa"/>
            <w:gridSpan w:val="2"/>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0,042</w:t>
            </w:r>
          </w:p>
        </w:tc>
        <w:tc>
          <w:tcPr>
            <w:tcW w:w="1173" w:type="dxa"/>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5,343</w:t>
            </w:r>
          </w:p>
        </w:tc>
        <w:tc>
          <w:tcPr>
            <w:tcW w:w="1079" w:type="dxa"/>
            <w:gridSpan w:val="2"/>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0,000</w:t>
            </w:r>
          </w:p>
        </w:tc>
      </w:tr>
      <w:tr w:rsidR="00D947AF" w:rsidRPr="003F0923" w:rsidTr="00552A39">
        <w:trPr>
          <w:trHeight w:val="128"/>
        </w:trPr>
        <w:tc>
          <w:tcPr>
            <w:tcW w:w="1062" w:type="dxa"/>
            <w:tcBorders>
              <w:top w:val="nil"/>
              <w:left w:val="nil"/>
              <w:bottom w:val="double" w:sz="6" w:space="0" w:color="auto"/>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er (-2)</w:t>
            </w:r>
          </w:p>
        </w:tc>
        <w:tc>
          <w:tcPr>
            <w:tcW w:w="1464" w:type="dxa"/>
            <w:gridSpan w:val="4"/>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-0,034</w:t>
            </w:r>
          </w:p>
        </w:tc>
        <w:tc>
          <w:tcPr>
            <w:tcW w:w="1353" w:type="dxa"/>
            <w:gridSpan w:val="2"/>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0,044</w:t>
            </w:r>
          </w:p>
        </w:tc>
        <w:tc>
          <w:tcPr>
            <w:tcW w:w="1173" w:type="dxa"/>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-0,757</w:t>
            </w:r>
          </w:p>
        </w:tc>
        <w:tc>
          <w:tcPr>
            <w:tcW w:w="1079" w:type="dxa"/>
            <w:gridSpan w:val="2"/>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0,450</w:t>
            </w:r>
          </w:p>
        </w:tc>
      </w:tr>
      <w:tr w:rsidR="0011126B" w:rsidRPr="003F0923" w:rsidTr="00552A39">
        <w:trPr>
          <w:gridAfter w:val="1"/>
          <w:wAfter w:w="5" w:type="dxa"/>
          <w:trHeight w:val="123"/>
        </w:trPr>
        <w:tc>
          <w:tcPr>
            <w:tcW w:w="6126" w:type="dxa"/>
            <w:gridSpan w:val="9"/>
            <w:tcBorders>
              <w:top w:val="nil"/>
              <w:left w:val="nil"/>
              <w:bottom w:val="double" w:sz="6" w:space="0" w:color="auto"/>
              <w:right w:val="nil"/>
            </w:tcBorders>
            <w:shd w:val="clear" w:color="auto" w:fill="auto"/>
            <w:vAlign w:val="center"/>
            <w:hideMark/>
          </w:tcPr>
          <w:p w:rsidR="0011126B" w:rsidRPr="003F0923" w:rsidRDefault="0011126B" w:rsidP="003F0923">
            <w:pPr>
              <w:jc w:val="center"/>
              <w:rPr>
                <w:b/>
                <w:bCs/>
                <w:color w:val="000000" w:themeColor="text1"/>
                <w:sz w:val="20"/>
                <w:szCs w:val="20"/>
              </w:rPr>
            </w:pPr>
            <w:r w:rsidRPr="003F0923">
              <w:rPr>
                <w:b/>
                <w:color w:val="000000" w:themeColor="text1"/>
                <w:sz w:val="20"/>
                <w:szCs w:val="20"/>
              </w:rPr>
              <w:t>Threshold Variables (nonlinear part) G = 1</w:t>
            </w:r>
          </w:p>
        </w:tc>
      </w:tr>
      <w:tr w:rsidR="00D947AF" w:rsidRPr="003F0923" w:rsidTr="00552A39">
        <w:trPr>
          <w:trHeight w:val="128"/>
        </w:trPr>
        <w:tc>
          <w:tcPr>
            <w:tcW w:w="1062" w:type="dxa"/>
            <w:tcBorders>
              <w:top w:val="nil"/>
              <w:left w:val="nil"/>
              <w:bottom w:val="nil"/>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c</w:t>
            </w:r>
          </w:p>
        </w:tc>
        <w:tc>
          <w:tcPr>
            <w:tcW w:w="1464" w:type="dxa"/>
            <w:gridSpan w:val="4"/>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0,123</w:t>
            </w:r>
          </w:p>
        </w:tc>
        <w:tc>
          <w:tcPr>
            <w:tcW w:w="1353"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0,059</w:t>
            </w:r>
          </w:p>
        </w:tc>
        <w:tc>
          <w:tcPr>
            <w:tcW w:w="1173" w:type="dxa"/>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2,079</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0,039</w:t>
            </w:r>
          </w:p>
        </w:tc>
      </w:tr>
      <w:tr w:rsidR="00D947AF" w:rsidRPr="003F0923" w:rsidTr="00552A39">
        <w:trPr>
          <w:trHeight w:val="123"/>
        </w:trPr>
        <w:tc>
          <w:tcPr>
            <w:tcW w:w="1062" w:type="dxa"/>
            <w:tcBorders>
              <w:top w:val="nil"/>
              <w:left w:val="nil"/>
              <w:bottom w:val="nil"/>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er</w:t>
            </w:r>
          </w:p>
        </w:tc>
        <w:tc>
          <w:tcPr>
            <w:tcW w:w="1464" w:type="dxa"/>
            <w:gridSpan w:val="4"/>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-0,197</w:t>
            </w:r>
          </w:p>
        </w:tc>
        <w:tc>
          <w:tcPr>
            <w:tcW w:w="1353"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0,072</w:t>
            </w:r>
          </w:p>
        </w:tc>
        <w:tc>
          <w:tcPr>
            <w:tcW w:w="1173" w:type="dxa"/>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-2,734</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0,007</w:t>
            </w:r>
          </w:p>
        </w:tc>
      </w:tr>
      <w:tr w:rsidR="00D947AF" w:rsidRPr="003F0923" w:rsidTr="00552A39">
        <w:trPr>
          <w:trHeight w:val="123"/>
        </w:trPr>
        <w:tc>
          <w:tcPr>
            <w:tcW w:w="1062" w:type="dxa"/>
            <w:tcBorders>
              <w:top w:val="nil"/>
              <w:left w:val="nil"/>
              <w:bottom w:val="nil"/>
              <w:right w:val="nil"/>
            </w:tcBorders>
            <w:shd w:val="clear" w:color="auto" w:fill="auto"/>
            <w:vAlign w:val="center"/>
          </w:tcPr>
          <w:p w:rsidR="00D947AF" w:rsidRPr="003F0923" w:rsidRDefault="00D947AF" w:rsidP="003F0923">
            <w:pPr>
              <w:jc w:val="center"/>
              <w:rPr>
                <w:color w:val="000000" w:themeColor="text1"/>
                <w:sz w:val="20"/>
                <w:szCs w:val="20"/>
              </w:rPr>
            </w:pPr>
            <w:r w:rsidRPr="003F0923">
              <w:rPr>
                <w:color w:val="000000" w:themeColor="text1"/>
                <w:sz w:val="20"/>
                <w:szCs w:val="20"/>
              </w:rPr>
              <w:t>er (-1)</w:t>
            </w:r>
          </w:p>
        </w:tc>
        <w:tc>
          <w:tcPr>
            <w:tcW w:w="1464" w:type="dxa"/>
            <w:gridSpan w:val="4"/>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-0,344</w:t>
            </w:r>
          </w:p>
        </w:tc>
        <w:tc>
          <w:tcPr>
            <w:tcW w:w="1353" w:type="dxa"/>
            <w:gridSpan w:val="2"/>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0,077</w:t>
            </w:r>
          </w:p>
        </w:tc>
        <w:tc>
          <w:tcPr>
            <w:tcW w:w="1173" w:type="dxa"/>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-4,470</w:t>
            </w:r>
          </w:p>
        </w:tc>
        <w:tc>
          <w:tcPr>
            <w:tcW w:w="1079" w:type="dxa"/>
            <w:gridSpan w:val="2"/>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0,000</w:t>
            </w:r>
          </w:p>
        </w:tc>
      </w:tr>
      <w:tr w:rsidR="00D947AF" w:rsidRPr="003F0923" w:rsidTr="00552A39">
        <w:trPr>
          <w:trHeight w:val="128"/>
        </w:trPr>
        <w:tc>
          <w:tcPr>
            <w:tcW w:w="1062" w:type="dxa"/>
            <w:tcBorders>
              <w:top w:val="nil"/>
              <w:left w:val="nil"/>
              <w:bottom w:val="double" w:sz="6" w:space="0" w:color="auto"/>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er (-2)</w:t>
            </w:r>
          </w:p>
        </w:tc>
        <w:tc>
          <w:tcPr>
            <w:tcW w:w="1464" w:type="dxa"/>
            <w:gridSpan w:val="4"/>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-0,047</w:t>
            </w:r>
          </w:p>
        </w:tc>
        <w:tc>
          <w:tcPr>
            <w:tcW w:w="1353" w:type="dxa"/>
            <w:gridSpan w:val="2"/>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0,070</w:t>
            </w:r>
          </w:p>
        </w:tc>
        <w:tc>
          <w:tcPr>
            <w:tcW w:w="1173" w:type="dxa"/>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-0,673</w:t>
            </w:r>
          </w:p>
        </w:tc>
        <w:tc>
          <w:tcPr>
            <w:tcW w:w="1079" w:type="dxa"/>
            <w:gridSpan w:val="2"/>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0,502</w:t>
            </w:r>
          </w:p>
        </w:tc>
      </w:tr>
      <w:tr w:rsidR="0011126B" w:rsidRPr="003F0923" w:rsidTr="00552A39">
        <w:trPr>
          <w:gridAfter w:val="1"/>
          <w:wAfter w:w="5" w:type="dxa"/>
          <w:trHeight w:val="123"/>
        </w:trPr>
        <w:tc>
          <w:tcPr>
            <w:tcW w:w="6126" w:type="dxa"/>
            <w:gridSpan w:val="9"/>
            <w:tcBorders>
              <w:top w:val="nil"/>
              <w:left w:val="nil"/>
              <w:bottom w:val="double" w:sz="6" w:space="0" w:color="auto"/>
              <w:right w:val="nil"/>
            </w:tcBorders>
            <w:shd w:val="clear" w:color="auto" w:fill="auto"/>
            <w:vAlign w:val="center"/>
            <w:hideMark/>
          </w:tcPr>
          <w:p w:rsidR="0011126B" w:rsidRPr="003F0923" w:rsidRDefault="0011126B" w:rsidP="003F0923">
            <w:pPr>
              <w:jc w:val="center"/>
              <w:rPr>
                <w:b/>
                <w:bCs/>
                <w:color w:val="000000" w:themeColor="text1"/>
                <w:sz w:val="20"/>
                <w:szCs w:val="20"/>
              </w:rPr>
            </w:pPr>
            <w:r w:rsidRPr="003F0923">
              <w:rPr>
                <w:b/>
                <w:color w:val="000000" w:themeColor="text1"/>
                <w:sz w:val="20"/>
                <w:szCs w:val="20"/>
              </w:rPr>
              <w:t>Non-Threshold Variables</w:t>
            </w:r>
          </w:p>
        </w:tc>
      </w:tr>
      <w:tr w:rsidR="00D947AF" w:rsidRPr="003F0923" w:rsidTr="00552A39">
        <w:trPr>
          <w:trHeight w:val="128"/>
        </w:trPr>
        <w:tc>
          <w:tcPr>
            <w:tcW w:w="1062" w:type="dxa"/>
            <w:tcBorders>
              <w:top w:val="nil"/>
              <w:left w:val="nil"/>
              <w:bottom w:val="nil"/>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inf_sa (-1)</w:t>
            </w:r>
          </w:p>
        </w:tc>
        <w:tc>
          <w:tcPr>
            <w:tcW w:w="1464" w:type="dxa"/>
            <w:gridSpan w:val="4"/>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0,625</w:t>
            </w:r>
          </w:p>
        </w:tc>
        <w:tc>
          <w:tcPr>
            <w:tcW w:w="1353"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0,065</w:t>
            </w:r>
          </w:p>
        </w:tc>
        <w:tc>
          <w:tcPr>
            <w:tcW w:w="1173" w:type="dxa"/>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9,576</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0,000</w:t>
            </w:r>
          </w:p>
        </w:tc>
      </w:tr>
      <w:tr w:rsidR="00D947AF" w:rsidRPr="003F0923" w:rsidTr="00552A39">
        <w:trPr>
          <w:trHeight w:val="128"/>
        </w:trPr>
        <w:tc>
          <w:tcPr>
            <w:tcW w:w="1062" w:type="dxa"/>
            <w:tcBorders>
              <w:top w:val="nil"/>
              <w:left w:val="nil"/>
              <w:bottom w:val="nil"/>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inf_sa (-2)</w:t>
            </w:r>
          </w:p>
        </w:tc>
        <w:tc>
          <w:tcPr>
            <w:tcW w:w="1464" w:type="dxa"/>
            <w:gridSpan w:val="4"/>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0,091</w:t>
            </w:r>
          </w:p>
        </w:tc>
        <w:tc>
          <w:tcPr>
            <w:tcW w:w="1353"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0,061</w:t>
            </w:r>
          </w:p>
        </w:tc>
        <w:tc>
          <w:tcPr>
            <w:tcW w:w="1173" w:type="dxa"/>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1,488</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0,138</w:t>
            </w:r>
          </w:p>
        </w:tc>
      </w:tr>
      <w:tr w:rsidR="00D947AF" w:rsidRPr="003F0923" w:rsidTr="00552A39">
        <w:trPr>
          <w:trHeight w:val="128"/>
        </w:trPr>
        <w:tc>
          <w:tcPr>
            <w:tcW w:w="1062" w:type="dxa"/>
            <w:tcBorders>
              <w:top w:val="nil"/>
              <w:left w:val="nil"/>
              <w:bottom w:val="nil"/>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iip_sa</w:t>
            </w:r>
          </w:p>
        </w:tc>
        <w:tc>
          <w:tcPr>
            <w:tcW w:w="1464" w:type="dxa"/>
            <w:gridSpan w:val="4"/>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-0,003</w:t>
            </w:r>
          </w:p>
        </w:tc>
        <w:tc>
          <w:tcPr>
            <w:tcW w:w="1353"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0,008</w:t>
            </w:r>
          </w:p>
        </w:tc>
        <w:tc>
          <w:tcPr>
            <w:tcW w:w="1173" w:type="dxa"/>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-0,402</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0,688</w:t>
            </w:r>
          </w:p>
        </w:tc>
      </w:tr>
      <w:tr w:rsidR="00D947AF" w:rsidRPr="003F0923" w:rsidTr="00552A39">
        <w:trPr>
          <w:trHeight w:val="128"/>
        </w:trPr>
        <w:tc>
          <w:tcPr>
            <w:tcW w:w="1062" w:type="dxa"/>
            <w:tcBorders>
              <w:top w:val="nil"/>
              <w:left w:val="nil"/>
              <w:bottom w:val="nil"/>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iip_sa (-1)</w:t>
            </w:r>
          </w:p>
        </w:tc>
        <w:tc>
          <w:tcPr>
            <w:tcW w:w="1464" w:type="dxa"/>
            <w:gridSpan w:val="4"/>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0,015</w:t>
            </w:r>
          </w:p>
        </w:tc>
        <w:tc>
          <w:tcPr>
            <w:tcW w:w="1353"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0,008</w:t>
            </w:r>
          </w:p>
        </w:tc>
        <w:tc>
          <w:tcPr>
            <w:tcW w:w="1173" w:type="dxa"/>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1,742</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0,083</w:t>
            </w:r>
          </w:p>
        </w:tc>
      </w:tr>
      <w:tr w:rsidR="00D947AF" w:rsidRPr="003F0923" w:rsidTr="00552A39">
        <w:trPr>
          <w:trHeight w:val="128"/>
        </w:trPr>
        <w:tc>
          <w:tcPr>
            <w:tcW w:w="1062" w:type="dxa"/>
            <w:tcBorders>
              <w:top w:val="nil"/>
              <w:left w:val="nil"/>
              <w:bottom w:val="nil"/>
              <w:right w:val="nil"/>
            </w:tcBorders>
            <w:shd w:val="clear" w:color="auto" w:fill="auto"/>
            <w:hideMark/>
          </w:tcPr>
          <w:p w:rsidR="00D947AF" w:rsidRPr="003F0923" w:rsidRDefault="00D947AF" w:rsidP="003F0923">
            <w:pPr>
              <w:jc w:val="center"/>
              <w:rPr>
                <w:color w:val="000000" w:themeColor="text1"/>
                <w:sz w:val="20"/>
                <w:szCs w:val="20"/>
              </w:rPr>
            </w:pPr>
            <w:r w:rsidRPr="003F0923">
              <w:rPr>
                <w:color w:val="000000" w:themeColor="text1"/>
                <w:sz w:val="20"/>
                <w:szCs w:val="20"/>
              </w:rPr>
              <w:t>iip_sa (-2)</w:t>
            </w:r>
          </w:p>
        </w:tc>
        <w:tc>
          <w:tcPr>
            <w:tcW w:w="1464" w:type="dxa"/>
            <w:gridSpan w:val="4"/>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0,004</w:t>
            </w:r>
          </w:p>
        </w:tc>
        <w:tc>
          <w:tcPr>
            <w:tcW w:w="1353"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0,009</w:t>
            </w:r>
          </w:p>
        </w:tc>
        <w:tc>
          <w:tcPr>
            <w:tcW w:w="1173" w:type="dxa"/>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0,508</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0,612</w:t>
            </w:r>
          </w:p>
        </w:tc>
      </w:tr>
      <w:tr w:rsidR="00D947AF" w:rsidRPr="003F0923" w:rsidTr="00552A39">
        <w:trPr>
          <w:trHeight w:val="128"/>
        </w:trPr>
        <w:tc>
          <w:tcPr>
            <w:tcW w:w="1062" w:type="dxa"/>
            <w:tcBorders>
              <w:top w:val="nil"/>
              <w:left w:val="nil"/>
              <w:bottom w:val="nil"/>
              <w:right w:val="nil"/>
            </w:tcBorders>
            <w:shd w:val="clear" w:color="auto" w:fill="auto"/>
            <w:hideMark/>
          </w:tcPr>
          <w:p w:rsidR="00D947AF" w:rsidRPr="003F0923" w:rsidRDefault="00D947AF" w:rsidP="003F0923">
            <w:pPr>
              <w:jc w:val="center"/>
              <w:rPr>
                <w:color w:val="000000" w:themeColor="text1"/>
                <w:sz w:val="20"/>
                <w:szCs w:val="20"/>
              </w:rPr>
            </w:pPr>
            <w:r w:rsidRPr="003F0923">
              <w:rPr>
                <w:color w:val="000000" w:themeColor="text1"/>
                <w:sz w:val="20"/>
                <w:szCs w:val="20"/>
              </w:rPr>
              <w:t>iip_sa (-3)</w:t>
            </w:r>
          </w:p>
        </w:tc>
        <w:tc>
          <w:tcPr>
            <w:tcW w:w="1464" w:type="dxa"/>
            <w:gridSpan w:val="4"/>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-0,018</w:t>
            </w:r>
          </w:p>
        </w:tc>
        <w:tc>
          <w:tcPr>
            <w:tcW w:w="1353"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0,008</w:t>
            </w:r>
          </w:p>
        </w:tc>
        <w:tc>
          <w:tcPr>
            <w:tcW w:w="1173" w:type="dxa"/>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-2,105</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0,037</w:t>
            </w:r>
          </w:p>
        </w:tc>
      </w:tr>
      <w:tr w:rsidR="00D947AF" w:rsidRPr="003F0923" w:rsidTr="00552A39">
        <w:trPr>
          <w:trHeight w:val="128"/>
        </w:trPr>
        <w:tc>
          <w:tcPr>
            <w:tcW w:w="1062" w:type="dxa"/>
            <w:tcBorders>
              <w:top w:val="nil"/>
              <w:left w:val="nil"/>
              <w:bottom w:val="nil"/>
              <w:right w:val="nil"/>
            </w:tcBorders>
            <w:shd w:val="clear" w:color="auto" w:fill="auto"/>
            <w:hideMark/>
          </w:tcPr>
          <w:p w:rsidR="00D947AF" w:rsidRPr="003F0923" w:rsidRDefault="00D947AF" w:rsidP="003F0923">
            <w:pPr>
              <w:jc w:val="center"/>
              <w:rPr>
                <w:color w:val="000000" w:themeColor="text1"/>
                <w:sz w:val="20"/>
                <w:szCs w:val="20"/>
              </w:rPr>
            </w:pPr>
            <w:r w:rsidRPr="003F0923">
              <w:rPr>
                <w:color w:val="000000" w:themeColor="text1"/>
                <w:sz w:val="20"/>
                <w:szCs w:val="20"/>
              </w:rPr>
              <w:t>iip_sa (-4)</w:t>
            </w:r>
          </w:p>
        </w:tc>
        <w:tc>
          <w:tcPr>
            <w:tcW w:w="1464" w:type="dxa"/>
            <w:gridSpan w:val="4"/>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0,007</w:t>
            </w:r>
          </w:p>
        </w:tc>
        <w:tc>
          <w:tcPr>
            <w:tcW w:w="1353"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0,009</w:t>
            </w:r>
          </w:p>
        </w:tc>
        <w:tc>
          <w:tcPr>
            <w:tcW w:w="1173" w:type="dxa"/>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0,767</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0,444</w:t>
            </w:r>
          </w:p>
        </w:tc>
      </w:tr>
      <w:tr w:rsidR="00D947AF" w:rsidRPr="003F0923" w:rsidTr="00552A39">
        <w:trPr>
          <w:trHeight w:val="128"/>
        </w:trPr>
        <w:tc>
          <w:tcPr>
            <w:tcW w:w="1062" w:type="dxa"/>
            <w:tcBorders>
              <w:top w:val="nil"/>
              <w:left w:val="nil"/>
              <w:bottom w:val="nil"/>
              <w:right w:val="nil"/>
            </w:tcBorders>
            <w:shd w:val="clear" w:color="auto" w:fill="auto"/>
            <w:hideMark/>
          </w:tcPr>
          <w:p w:rsidR="00D947AF" w:rsidRPr="003F0923" w:rsidRDefault="00D947AF" w:rsidP="003F0923">
            <w:pPr>
              <w:jc w:val="center"/>
              <w:rPr>
                <w:color w:val="000000" w:themeColor="text1"/>
                <w:sz w:val="20"/>
                <w:szCs w:val="20"/>
              </w:rPr>
            </w:pPr>
            <w:r w:rsidRPr="003F0923">
              <w:rPr>
                <w:color w:val="000000" w:themeColor="text1"/>
                <w:sz w:val="20"/>
                <w:szCs w:val="20"/>
              </w:rPr>
              <w:t>iip_sa (-5)</w:t>
            </w:r>
          </w:p>
        </w:tc>
        <w:tc>
          <w:tcPr>
            <w:tcW w:w="1464" w:type="dxa"/>
            <w:gridSpan w:val="4"/>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-0,008</w:t>
            </w:r>
          </w:p>
        </w:tc>
        <w:tc>
          <w:tcPr>
            <w:tcW w:w="1353"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0,008</w:t>
            </w:r>
          </w:p>
        </w:tc>
        <w:tc>
          <w:tcPr>
            <w:tcW w:w="1173" w:type="dxa"/>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-0,958</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0,340</w:t>
            </w:r>
          </w:p>
        </w:tc>
      </w:tr>
      <w:tr w:rsidR="00D947AF" w:rsidRPr="003F0923" w:rsidTr="00552A39">
        <w:trPr>
          <w:trHeight w:val="128"/>
        </w:trPr>
        <w:tc>
          <w:tcPr>
            <w:tcW w:w="1062" w:type="dxa"/>
            <w:tcBorders>
              <w:top w:val="nil"/>
              <w:left w:val="nil"/>
              <w:bottom w:val="nil"/>
              <w:right w:val="nil"/>
            </w:tcBorders>
            <w:shd w:val="clear" w:color="auto" w:fill="auto"/>
            <w:hideMark/>
          </w:tcPr>
          <w:p w:rsidR="00D947AF" w:rsidRPr="003F0923" w:rsidRDefault="00D947AF" w:rsidP="003F0923">
            <w:pPr>
              <w:jc w:val="center"/>
              <w:rPr>
                <w:color w:val="000000" w:themeColor="text1"/>
                <w:sz w:val="20"/>
                <w:szCs w:val="20"/>
              </w:rPr>
            </w:pPr>
            <w:r w:rsidRPr="003F0923">
              <w:rPr>
                <w:color w:val="000000" w:themeColor="text1"/>
                <w:sz w:val="20"/>
                <w:szCs w:val="20"/>
              </w:rPr>
              <w:t>iip_sa (-6)</w:t>
            </w:r>
          </w:p>
        </w:tc>
        <w:tc>
          <w:tcPr>
            <w:tcW w:w="1464" w:type="dxa"/>
            <w:gridSpan w:val="4"/>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-0,003</w:t>
            </w:r>
          </w:p>
        </w:tc>
        <w:tc>
          <w:tcPr>
            <w:tcW w:w="1353"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0,008</w:t>
            </w:r>
          </w:p>
        </w:tc>
        <w:tc>
          <w:tcPr>
            <w:tcW w:w="1173" w:type="dxa"/>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-0,320</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0,749</w:t>
            </w:r>
          </w:p>
        </w:tc>
      </w:tr>
      <w:tr w:rsidR="00D947AF" w:rsidRPr="003F0923" w:rsidTr="00552A39">
        <w:trPr>
          <w:trHeight w:val="128"/>
        </w:trPr>
        <w:tc>
          <w:tcPr>
            <w:tcW w:w="1062" w:type="dxa"/>
            <w:tcBorders>
              <w:top w:val="nil"/>
              <w:left w:val="nil"/>
              <w:bottom w:val="nil"/>
              <w:right w:val="nil"/>
            </w:tcBorders>
            <w:shd w:val="clear" w:color="auto" w:fill="auto"/>
          </w:tcPr>
          <w:p w:rsidR="00D947AF" w:rsidRPr="003F0923" w:rsidRDefault="00D947AF" w:rsidP="003F0923">
            <w:pPr>
              <w:jc w:val="center"/>
              <w:rPr>
                <w:color w:val="000000" w:themeColor="text1"/>
                <w:sz w:val="20"/>
                <w:szCs w:val="20"/>
              </w:rPr>
            </w:pPr>
            <w:r w:rsidRPr="003F0923">
              <w:rPr>
                <w:color w:val="000000" w:themeColor="text1"/>
                <w:sz w:val="20"/>
                <w:szCs w:val="20"/>
              </w:rPr>
              <w:t>iip_sa (-7)</w:t>
            </w:r>
          </w:p>
        </w:tc>
        <w:tc>
          <w:tcPr>
            <w:tcW w:w="1464" w:type="dxa"/>
            <w:gridSpan w:val="4"/>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-0,001</w:t>
            </w:r>
          </w:p>
        </w:tc>
        <w:tc>
          <w:tcPr>
            <w:tcW w:w="1353" w:type="dxa"/>
            <w:gridSpan w:val="2"/>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0,008</w:t>
            </w:r>
          </w:p>
        </w:tc>
        <w:tc>
          <w:tcPr>
            <w:tcW w:w="1173" w:type="dxa"/>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-0,086</w:t>
            </w:r>
          </w:p>
        </w:tc>
        <w:tc>
          <w:tcPr>
            <w:tcW w:w="1079" w:type="dxa"/>
            <w:gridSpan w:val="2"/>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0,932</w:t>
            </w:r>
          </w:p>
        </w:tc>
      </w:tr>
      <w:tr w:rsidR="00D947AF" w:rsidRPr="003F0923" w:rsidTr="00552A39">
        <w:trPr>
          <w:trHeight w:val="128"/>
        </w:trPr>
        <w:tc>
          <w:tcPr>
            <w:tcW w:w="1062" w:type="dxa"/>
            <w:tcBorders>
              <w:top w:val="nil"/>
              <w:left w:val="nil"/>
              <w:bottom w:val="nil"/>
              <w:right w:val="nil"/>
            </w:tcBorders>
            <w:shd w:val="clear" w:color="auto" w:fill="auto"/>
          </w:tcPr>
          <w:p w:rsidR="00D947AF" w:rsidRPr="003F0923" w:rsidRDefault="00D947AF" w:rsidP="003F0923">
            <w:pPr>
              <w:jc w:val="center"/>
              <w:rPr>
                <w:color w:val="000000" w:themeColor="text1"/>
                <w:sz w:val="20"/>
                <w:szCs w:val="20"/>
              </w:rPr>
            </w:pPr>
            <w:r w:rsidRPr="003F0923">
              <w:rPr>
                <w:color w:val="000000" w:themeColor="text1"/>
                <w:sz w:val="20"/>
                <w:szCs w:val="20"/>
              </w:rPr>
              <w:t>iip_sa (-8)</w:t>
            </w:r>
          </w:p>
        </w:tc>
        <w:tc>
          <w:tcPr>
            <w:tcW w:w="1464" w:type="dxa"/>
            <w:gridSpan w:val="4"/>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-0,025</w:t>
            </w:r>
          </w:p>
        </w:tc>
        <w:tc>
          <w:tcPr>
            <w:tcW w:w="1353" w:type="dxa"/>
            <w:gridSpan w:val="2"/>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0,008</w:t>
            </w:r>
          </w:p>
        </w:tc>
        <w:tc>
          <w:tcPr>
            <w:tcW w:w="1173" w:type="dxa"/>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-3,021</w:t>
            </w:r>
          </w:p>
        </w:tc>
        <w:tc>
          <w:tcPr>
            <w:tcW w:w="1079" w:type="dxa"/>
            <w:gridSpan w:val="2"/>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0,003</w:t>
            </w:r>
          </w:p>
        </w:tc>
      </w:tr>
      <w:tr w:rsidR="00D947AF" w:rsidRPr="003F0923" w:rsidTr="00552A39">
        <w:trPr>
          <w:trHeight w:val="128"/>
        </w:trPr>
        <w:tc>
          <w:tcPr>
            <w:tcW w:w="1062" w:type="dxa"/>
            <w:tcBorders>
              <w:top w:val="nil"/>
              <w:left w:val="nil"/>
              <w:bottom w:val="nil"/>
              <w:right w:val="nil"/>
            </w:tcBorders>
            <w:shd w:val="clear" w:color="auto" w:fill="auto"/>
          </w:tcPr>
          <w:p w:rsidR="00D947AF" w:rsidRPr="003F0923" w:rsidRDefault="00D947AF" w:rsidP="003F0923">
            <w:pPr>
              <w:jc w:val="center"/>
              <w:rPr>
                <w:color w:val="000000" w:themeColor="text1"/>
                <w:sz w:val="20"/>
                <w:szCs w:val="20"/>
              </w:rPr>
            </w:pPr>
            <w:r w:rsidRPr="003F0923">
              <w:rPr>
                <w:color w:val="000000" w:themeColor="text1"/>
                <w:sz w:val="20"/>
                <w:szCs w:val="20"/>
              </w:rPr>
              <w:t>iip_sa (-9)</w:t>
            </w:r>
          </w:p>
        </w:tc>
        <w:tc>
          <w:tcPr>
            <w:tcW w:w="1464" w:type="dxa"/>
            <w:gridSpan w:val="4"/>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0,014</w:t>
            </w:r>
          </w:p>
        </w:tc>
        <w:tc>
          <w:tcPr>
            <w:tcW w:w="1353" w:type="dxa"/>
            <w:gridSpan w:val="2"/>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0,008</w:t>
            </w:r>
          </w:p>
        </w:tc>
        <w:tc>
          <w:tcPr>
            <w:tcW w:w="1173" w:type="dxa"/>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1,676</w:t>
            </w:r>
          </w:p>
        </w:tc>
        <w:tc>
          <w:tcPr>
            <w:tcW w:w="1079" w:type="dxa"/>
            <w:gridSpan w:val="2"/>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0,095</w:t>
            </w:r>
          </w:p>
        </w:tc>
      </w:tr>
      <w:tr w:rsidR="00D947AF" w:rsidRPr="003F0923" w:rsidTr="00552A39">
        <w:trPr>
          <w:trHeight w:val="128"/>
        </w:trPr>
        <w:tc>
          <w:tcPr>
            <w:tcW w:w="1062" w:type="dxa"/>
            <w:tcBorders>
              <w:top w:val="nil"/>
              <w:left w:val="nil"/>
              <w:bottom w:val="nil"/>
              <w:right w:val="nil"/>
            </w:tcBorders>
            <w:shd w:val="clear" w:color="auto" w:fill="auto"/>
            <w:vAlign w:val="center"/>
          </w:tcPr>
          <w:p w:rsidR="00D947AF" w:rsidRPr="003F0923" w:rsidRDefault="00D947AF" w:rsidP="003F0923">
            <w:pPr>
              <w:jc w:val="center"/>
              <w:rPr>
                <w:color w:val="000000" w:themeColor="text1"/>
                <w:sz w:val="20"/>
                <w:szCs w:val="20"/>
              </w:rPr>
            </w:pPr>
            <w:r w:rsidRPr="003F0923">
              <w:rPr>
                <w:color w:val="000000" w:themeColor="text1"/>
                <w:sz w:val="20"/>
                <w:szCs w:val="20"/>
              </w:rPr>
              <w:t>gpi</w:t>
            </w:r>
          </w:p>
        </w:tc>
        <w:tc>
          <w:tcPr>
            <w:tcW w:w="1464" w:type="dxa"/>
            <w:gridSpan w:val="4"/>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0,030</w:t>
            </w:r>
          </w:p>
        </w:tc>
        <w:tc>
          <w:tcPr>
            <w:tcW w:w="1353" w:type="dxa"/>
            <w:gridSpan w:val="2"/>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0,007</w:t>
            </w:r>
          </w:p>
        </w:tc>
        <w:tc>
          <w:tcPr>
            <w:tcW w:w="1173" w:type="dxa"/>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4,333</w:t>
            </w:r>
          </w:p>
        </w:tc>
        <w:tc>
          <w:tcPr>
            <w:tcW w:w="1079" w:type="dxa"/>
            <w:gridSpan w:val="2"/>
            <w:tcBorders>
              <w:top w:val="nil"/>
              <w:left w:val="nil"/>
              <w:bottom w:val="nil"/>
              <w:right w:val="nil"/>
            </w:tcBorders>
            <w:shd w:val="clear" w:color="auto" w:fill="auto"/>
            <w:vAlign w:val="bottom"/>
          </w:tcPr>
          <w:p w:rsidR="00D947AF" w:rsidRPr="003F0923" w:rsidRDefault="00D947AF" w:rsidP="003F0923">
            <w:pPr>
              <w:jc w:val="right"/>
              <w:rPr>
                <w:color w:val="000000" w:themeColor="text1"/>
                <w:sz w:val="20"/>
                <w:szCs w:val="20"/>
              </w:rPr>
            </w:pPr>
            <w:r w:rsidRPr="003F0923">
              <w:rPr>
                <w:color w:val="000000"/>
                <w:sz w:val="20"/>
                <w:szCs w:val="20"/>
              </w:rPr>
              <w:t>0,000</w:t>
            </w:r>
          </w:p>
        </w:tc>
      </w:tr>
      <w:tr w:rsidR="00D947AF" w:rsidRPr="003F0923" w:rsidTr="00552A39">
        <w:trPr>
          <w:trHeight w:val="128"/>
        </w:trPr>
        <w:tc>
          <w:tcPr>
            <w:tcW w:w="1062" w:type="dxa"/>
            <w:tcBorders>
              <w:top w:val="nil"/>
              <w:left w:val="nil"/>
              <w:bottom w:val="double" w:sz="6" w:space="0" w:color="auto"/>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gpi (-1)</w:t>
            </w:r>
          </w:p>
        </w:tc>
        <w:tc>
          <w:tcPr>
            <w:tcW w:w="1464" w:type="dxa"/>
            <w:gridSpan w:val="4"/>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0,021</w:t>
            </w:r>
          </w:p>
        </w:tc>
        <w:tc>
          <w:tcPr>
            <w:tcW w:w="1353" w:type="dxa"/>
            <w:gridSpan w:val="2"/>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0,007</w:t>
            </w:r>
          </w:p>
        </w:tc>
        <w:tc>
          <w:tcPr>
            <w:tcW w:w="1173" w:type="dxa"/>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2,901</w:t>
            </w:r>
          </w:p>
        </w:tc>
        <w:tc>
          <w:tcPr>
            <w:tcW w:w="1079" w:type="dxa"/>
            <w:gridSpan w:val="2"/>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0,004</w:t>
            </w:r>
          </w:p>
        </w:tc>
      </w:tr>
      <w:tr w:rsidR="0011126B" w:rsidRPr="003F0923" w:rsidTr="00552A39">
        <w:trPr>
          <w:gridAfter w:val="1"/>
          <w:wAfter w:w="5" w:type="dxa"/>
          <w:trHeight w:val="123"/>
        </w:trPr>
        <w:tc>
          <w:tcPr>
            <w:tcW w:w="6126" w:type="dxa"/>
            <w:gridSpan w:val="9"/>
            <w:tcBorders>
              <w:top w:val="nil"/>
              <w:left w:val="nil"/>
              <w:bottom w:val="double" w:sz="6" w:space="0" w:color="auto"/>
              <w:right w:val="nil"/>
            </w:tcBorders>
            <w:shd w:val="clear" w:color="auto" w:fill="auto"/>
            <w:vAlign w:val="center"/>
            <w:hideMark/>
          </w:tcPr>
          <w:p w:rsidR="0011126B" w:rsidRPr="003F0923" w:rsidRDefault="0011126B" w:rsidP="003F0923">
            <w:pPr>
              <w:jc w:val="center"/>
              <w:rPr>
                <w:b/>
                <w:bCs/>
                <w:color w:val="000000" w:themeColor="text1"/>
                <w:sz w:val="20"/>
                <w:szCs w:val="20"/>
              </w:rPr>
            </w:pPr>
            <w:r w:rsidRPr="003F0923">
              <w:rPr>
                <w:b/>
                <w:bCs/>
                <w:color w:val="000000" w:themeColor="text1"/>
                <w:sz w:val="20"/>
                <w:szCs w:val="20"/>
              </w:rPr>
              <w:t>Slopes</w:t>
            </w:r>
          </w:p>
        </w:tc>
      </w:tr>
      <w:tr w:rsidR="00D947AF" w:rsidRPr="003F0923" w:rsidTr="00552A39">
        <w:trPr>
          <w:trHeight w:val="135"/>
        </w:trPr>
        <w:tc>
          <w:tcPr>
            <w:tcW w:w="1083" w:type="dxa"/>
            <w:gridSpan w:val="2"/>
            <w:tcBorders>
              <w:top w:val="nil"/>
              <w:left w:val="nil"/>
              <w:bottom w:val="double" w:sz="6" w:space="0" w:color="auto"/>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 xml:space="preserve">Slope </w:t>
            </w:r>
          </w:p>
        </w:tc>
        <w:tc>
          <w:tcPr>
            <w:tcW w:w="1443" w:type="dxa"/>
            <w:gridSpan w:val="3"/>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267,439</w:t>
            </w:r>
          </w:p>
        </w:tc>
        <w:tc>
          <w:tcPr>
            <w:tcW w:w="1353" w:type="dxa"/>
            <w:gridSpan w:val="2"/>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591,362</w:t>
            </w:r>
          </w:p>
        </w:tc>
        <w:tc>
          <w:tcPr>
            <w:tcW w:w="1173" w:type="dxa"/>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0,452</w:t>
            </w:r>
          </w:p>
        </w:tc>
        <w:tc>
          <w:tcPr>
            <w:tcW w:w="1079" w:type="dxa"/>
            <w:gridSpan w:val="2"/>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0,652</w:t>
            </w:r>
          </w:p>
        </w:tc>
      </w:tr>
      <w:tr w:rsidR="0011126B" w:rsidRPr="003F0923" w:rsidTr="00552A39">
        <w:trPr>
          <w:gridAfter w:val="1"/>
          <w:wAfter w:w="5" w:type="dxa"/>
          <w:trHeight w:val="123"/>
        </w:trPr>
        <w:tc>
          <w:tcPr>
            <w:tcW w:w="6126" w:type="dxa"/>
            <w:gridSpan w:val="9"/>
            <w:tcBorders>
              <w:top w:val="nil"/>
              <w:left w:val="nil"/>
              <w:bottom w:val="double" w:sz="6" w:space="0" w:color="auto"/>
              <w:right w:val="nil"/>
            </w:tcBorders>
            <w:shd w:val="clear" w:color="auto" w:fill="auto"/>
            <w:vAlign w:val="center"/>
            <w:hideMark/>
          </w:tcPr>
          <w:p w:rsidR="0011126B" w:rsidRPr="003F0923" w:rsidRDefault="0011126B" w:rsidP="003F0923">
            <w:pPr>
              <w:jc w:val="center"/>
              <w:rPr>
                <w:b/>
                <w:bCs/>
                <w:color w:val="000000" w:themeColor="text1"/>
                <w:sz w:val="20"/>
                <w:szCs w:val="20"/>
              </w:rPr>
            </w:pPr>
            <w:r w:rsidRPr="003F0923">
              <w:rPr>
                <w:b/>
                <w:bCs/>
                <w:color w:val="000000" w:themeColor="text1"/>
                <w:sz w:val="20"/>
                <w:szCs w:val="20"/>
              </w:rPr>
              <w:t>Thresholds</w:t>
            </w:r>
          </w:p>
        </w:tc>
      </w:tr>
      <w:tr w:rsidR="00D947AF" w:rsidRPr="003F0923" w:rsidTr="00552A39">
        <w:trPr>
          <w:trHeight w:val="135"/>
        </w:trPr>
        <w:tc>
          <w:tcPr>
            <w:tcW w:w="1062" w:type="dxa"/>
            <w:tcBorders>
              <w:top w:val="nil"/>
              <w:left w:val="nil"/>
              <w:bottom w:val="double" w:sz="6" w:space="0" w:color="auto"/>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Threshold</w:t>
            </w:r>
          </w:p>
        </w:tc>
        <w:tc>
          <w:tcPr>
            <w:tcW w:w="1464" w:type="dxa"/>
            <w:gridSpan w:val="4"/>
            <w:tcBorders>
              <w:top w:val="nil"/>
              <w:left w:val="nil"/>
              <w:bottom w:val="double" w:sz="6" w:space="0" w:color="auto"/>
              <w:right w:val="nil"/>
            </w:tcBorders>
            <w:shd w:val="clear" w:color="auto" w:fill="auto"/>
            <w:vAlign w:val="center"/>
            <w:hideMark/>
          </w:tcPr>
          <w:p w:rsidR="00D947AF" w:rsidRPr="003F0923" w:rsidRDefault="00D947AF" w:rsidP="003F0923">
            <w:pPr>
              <w:jc w:val="right"/>
              <w:rPr>
                <w:color w:val="000000" w:themeColor="text1"/>
                <w:sz w:val="20"/>
                <w:szCs w:val="20"/>
              </w:rPr>
            </w:pPr>
            <w:r w:rsidRPr="003F0923">
              <w:rPr>
                <w:color w:val="000000"/>
                <w:sz w:val="20"/>
                <w:szCs w:val="20"/>
              </w:rPr>
              <w:t>0,094</w:t>
            </w:r>
          </w:p>
        </w:tc>
        <w:tc>
          <w:tcPr>
            <w:tcW w:w="1353" w:type="dxa"/>
            <w:gridSpan w:val="2"/>
            <w:tcBorders>
              <w:top w:val="nil"/>
              <w:left w:val="nil"/>
              <w:bottom w:val="double" w:sz="6" w:space="0" w:color="auto"/>
              <w:right w:val="nil"/>
            </w:tcBorders>
            <w:shd w:val="clear" w:color="auto" w:fill="auto"/>
            <w:vAlign w:val="center"/>
            <w:hideMark/>
          </w:tcPr>
          <w:p w:rsidR="00D947AF" w:rsidRPr="003F0923" w:rsidRDefault="00D947AF" w:rsidP="003F0923">
            <w:pPr>
              <w:jc w:val="right"/>
              <w:rPr>
                <w:color w:val="000000" w:themeColor="text1"/>
                <w:sz w:val="20"/>
                <w:szCs w:val="20"/>
              </w:rPr>
            </w:pPr>
            <w:r w:rsidRPr="003F0923">
              <w:rPr>
                <w:color w:val="000000"/>
                <w:sz w:val="20"/>
                <w:szCs w:val="20"/>
              </w:rPr>
              <w:t>0,010</w:t>
            </w:r>
          </w:p>
        </w:tc>
        <w:tc>
          <w:tcPr>
            <w:tcW w:w="1173" w:type="dxa"/>
            <w:tcBorders>
              <w:top w:val="nil"/>
              <w:left w:val="nil"/>
              <w:bottom w:val="double" w:sz="6" w:space="0" w:color="auto"/>
              <w:right w:val="nil"/>
            </w:tcBorders>
            <w:shd w:val="clear" w:color="auto" w:fill="auto"/>
            <w:vAlign w:val="center"/>
            <w:hideMark/>
          </w:tcPr>
          <w:p w:rsidR="00D947AF" w:rsidRPr="003F0923" w:rsidRDefault="00D947AF" w:rsidP="003F0923">
            <w:pPr>
              <w:jc w:val="right"/>
              <w:rPr>
                <w:color w:val="000000" w:themeColor="text1"/>
                <w:sz w:val="20"/>
                <w:szCs w:val="20"/>
              </w:rPr>
            </w:pPr>
            <w:r w:rsidRPr="003F0923">
              <w:rPr>
                <w:color w:val="000000"/>
                <w:sz w:val="20"/>
                <w:szCs w:val="20"/>
              </w:rPr>
              <w:t>9,328</w:t>
            </w:r>
          </w:p>
        </w:tc>
        <w:tc>
          <w:tcPr>
            <w:tcW w:w="1079" w:type="dxa"/>
            <w:gridSpan w:val="2"/>
            <w:tcBorders>
              <w:top w:val="nil"/>
              <w:left w:val="nil"/>
              <w:bottom w:val="double" w:sz="6" w:space="0" w:color="auto"/>
              <w:right w:val="nil"/>
            </w:tcBorders>
            <w:shd w:val="clear" w:color="auto" w:fill="auto"/>
            <w:vAlign w:val="center"/>
            <w:hideMark/>
          </w:tcPr>
          <w:p w:rsidR="00D947AF" w:rsidRPr="003F0923" w:rsidRDefault="00D947AF" w:rsidP="003F0923">
            <w:pPr>
              <w:jc w:val="right"/>
              <w:rPr>
                <w:color w:val="000000" w:themeColor="text1"/>
                <w:sz w:val="20"/>
                <w:szCs w:val="20"/>
              </w:rPr>
            </w:pPr>
            <w:r w:rsidRPr="003F0923">
              <w:rPr>
                <w:color w:val="000000"/>
                <w:sz w:val="20"/>
                <w:szCs w:val="20"/>
              </w:rPr>
              <w:t>0,000</w:t>
            </w:r>
          </w:p>
        </w:tc>
      </w:tr>
      <w:tr w:rsidR="00D947AF" w:rsidRPr="003F0923" w:rsidTr="00552A39">
        <w:trPr>
          <w:trHeight w:val="128"/>
        </w:trPr>
        <w:tc>
          <w:tcPr>
            <w:tcW w:w="1985" w:type="dxa"/>
            <w:gridSpan w:val="4"/>
            <w:tcBorders>
              <w:top w:val="nil"/>
              <w:left w:val="nil"/>
              <w:bottom w:val="nil"/>
              <w:right w:val="nil"/>
            </w:tcBorders>
            <w:shd w:val="clear" w:color="auto" w:fill="auto"/>
            <w:vAlign w:val="center"/>
            <w:hideMark/>
          </w:tcPr>
          <w:p w:rsidR="00D947AF" w:rsidRPr="003F0923" w:rsidRDefault="00D947AF" w:rsidP="003F0923">
            <w:pPr>
              <w:rPr>
                <w:color w:val="000000" w:themeColor="text1"/>
                <w:sz w:val="20"/>
                <w:szCs w:val="20"/>
              </w:rPr>
            </w:pPr>
            <w:r w:rsidRPr="003F0923">
              <w:rPr>
                <w:color w:val="000000" w:themeColor="text1"/>
                <w:sz w:val="20"/>
                <w:szCs w:val="20"/>
              </w:rPr>
              <w:t>R-squared</w:t>
            </w:r>
          </w:p>
        </w:tc>
        <w:tc>
          <w:tcPr>
            <w:tcW w:w="902"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0,741</w:t>
            </w:r>
          </w:p>
        </w:tc>
        <w:tc>
          <w:tcPr>
            <w:tcW w:w="2165" w:type="dxa"/>
            <w:gridSpan w:val="2"/>
            <w:tcBorders>
              <w:top w:val="nil"/>
              <w:left w:val="nil"/>
              <w:bottom w:val="nil"/>
              <w:right w:val="nil"/>
            </w:tcBorders>
            <w:shd w:val="clear" w:color="auto" w:fill="auto"/>
            <w:vAlign w:val="center"/>
            <w:hideMark/>
          </w:tcPr>
          <w:p w:rsidR="00D947AF" w:rsidRPr="003F0923" w:rsidRDefault="00D947AF" w:rsidP="003F0923">
            <w:pPr>
              <w:rPr>
                <w:color w:val="000000" w:themeColor="text1"/>
                <w:sz w:val="20"/>
                <w:szCs w:val="20"/>
              </w:rPr>
            </w:pPr>
            <w:r w:rsidRPr="003F0923">
              <w:rPr>
                <w:color w:val="000000" w:themeColor="text1"/>
                <w:sz w:val="20"/>
                <w:szCs w:val="20"/>
              </w:rPr>
              <w:t>Mean dependent var</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0,554</w:t>
            </w:r>
          </w:p>
        </w:tc>
      </w:tr>
      <w:tr w:rsidR="00D947AF" w:rsidRPr="003F0923" w:rsidTr="00552A39">
        <w:trPr>
          <w:trHeight w:val="128"/>
        </w:trPr>
        <w:tc>
          <w:tcPr>
            <w:tcW w:w="1985" w:type="dxa"/>
            <w:gridSpan w:val="4"/>
            <w:tcBorders>
              <w:top w:val="nil"/>
              <w:left w:val="nil"/>
              <w:bottom w:val="nil"/>
              <w:right w:val="nil"/>
            </w:tcBorders>
            <w:shd w:val="clear" w:color="auto" w:fill="auto"/>
            <w:vAlign w:val="center"/>
            <w:hideMark/>
          </w:tcPr>
          <w:p w:rsidR="00D947AF" w:rsidRPr="003F0923" w:rsidRDefault="00D947AF" w:rsidP="003F0923">
            <w:pPr>
              <w:rPr>
                <w:color w:val="000000" w:themeColor="text1"/>
                <w:sz w:val="20"/>
                <w:szCs w:val="20"/>
              </w:rPr>
            </w:pPr>
            <w:r w:rsidRPr="003F0923">
              <w:rPr>
                <w:color w:val="000000" w:themeColor="text1"/>
                <w:sz w:val="20"/>
                <w:szCs w:val="20"/>
              </w:rPr>
              <w:t>Adjusted R2</w:t>
            </w:r>
          </w:p>
        </w:tc>
        <w:tc>
          <w:tcPr>
            <w:tcW w:w="902"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0,710</w:t>
            </w:r>
          </w:p>
        </w:tc>
        <w:tc>
          <w:tcPr>
            <w:tcW w:w="2165" w:type="dxa"/>
            <w:gridSpan w:val="2"/>
            <w:tcBorders>
              <w:top w:val="nil"/>
              <w:left w:val="nil"/>
              <w:bottom w:val="nil"/>
              <w:right w:val="nil"/>
            </w:tcBorders>
            <w:shd w:val="clear" w:color="auto" w:fill="auto"/>
            <w:vAlign w:val="center"/>
            <w:hideMark/>
          </w:tcPr>
          <w:p w:rsidR="00D947AF" w:rsidRPr="003F0923" w:rsidRDefault="00D947AF" w:rsidP="003F0923">
            <w:pPr>
              <w:rPr>
                <w:color w:val="000000" w:themeColor="text1"/>
                <w:sz w:val="20"/>
                <w:szCs w:val="20"/>
              </w:rPr>
            </w:pPr>
            <w:r w:rsidRPr="003F0923">
              <w:rPr>
                <w:color w:val="000000" w:themeColor="text1"/>
                <w:sz w:val="20"/>
                <w:szCs w:val="20"/>
              </w:rPr>
              <w:t>S.D. dependent var</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0,656</w:t>
            </w:r>
          </w:p>
        </w:tc>
      </w:tr>
      <w:tr w:rsidR="00D947AF" w:rsidRPr="003F0923" w:rsidTr="00552A39">
        <w:trPr>
          <w:trHeight w:val="128"/>
        </w:trPr>
        <w:tc>
          <w:tcPr>
            <w:tcW w:w="1985" w:type="dxa"/>
            <w:gridSpan w:val="4"/>
            <w:tcBorders>
              <w:top w:val="nil"/>
              <w:left w:val="nil"/>
              <w:bottom w:val="nil"/>
              <w:right w:val="nil"/>
            </w:tcBorders>
            <w:shd w:val="clear" w:color="auto" w:fill="auto"/>
            <w:vAlign w:val="center"/>
            <w:hideMark/>
          </w:tcPr>
          <w:p w:rsidR="00D947AF" w:rsidRPr="003F0923" w:rsidRDefault="00D947AF" w:rsidP="003F0923">
            <w:pPr>
              <w:rPr>
                <w:color w:val="000000" w:themeColor="text1"/>
                <w:sz w:val="20"/>
                <w:szCs w:val="20"/>
              </w:rPr>
            </w:pPr>
            <w:r w:rsidRPr="003F0923">
              <w:rPr>
                <w:color w:val="000000" w:themeColor="text1"/>
                <w:sz w:val="20"/>
                <w:szCs w:val="20"/>
              </w:rPr>
              <w:t>S.E. of regression</w:t>
            </w:r>
          </w:p>
        </w:tc>
        <w:tc>
          <w:tcPr>
            <w:tcW w:w="902"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0,353</w:t>
            </w:r>
          </w:p>
        </w:tc>
        <w:tc>
          <w:tcPr>
            <w:tcW w:w="2165" w:type="dxa"/>
            <w:gridSpan w:val="2"/>
            <w:tcBorders>
              <w:top w:val="nil"/>
              <w:left w:val="nil"/>
              <w:bottom w:val="nil"/>
              <w:right w:val="nil"/>
            </w:tcBorders>
            <w:shd w:val="clear" w:color="auto" w:fill="auto"/>
            <w:vAlign w:val="center"/>
            <w:hideMark/>
          </w:tcPr>
          <w:p w:rsidR="00D947AF" w:rsidRPr="003F0923" w:rsidRDefault="00D947AF" w:rsidP="003F0923">
            <w:pPr>
              <w:rPr>
                <w:color w:val="000000" w:themeColor="text1"/>
                <w:sz w:val="20"/>
                <w:szCs w:val="20"/>
              </w:rPr>
            </w:pPr>
            <w:r w:rsidRPr="003F0923">
              <w:rPr>
                <w:color w:val="000000" w:themeColor="text1"/>
                <w:sz w:val="20"/>
                <w:szCs w:val="20"/>
              </w:rPr>
              <w:t>Akaike info criterion</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0,861</w:t>
            </w:r>
          </w:p>
        </w:tc>
      </w:tr>
      <w:tr w:rsidR="00D947AF" w:rsidRPr="003F0923" w:rsidTr="00552A39">
        <w:trPr>
          <w:trHeight w:val="128"/>
        </w:trPr>
        <w:tc>
          <w:tcPr>
            <w:tcW w:w="1985" w:type="dxa"/>
            <w:gridSpan w:val="4"/>
            <w:tcBorders>
              <w:top w:val="nil"/>
              <w:left w:val="nil"/>
              <w:bottom w:val="nil"/>
              <w:right w:val="nil"/>
            </w:tcBorders>
            <w:shd w:val="clear" w:color="auto" w:fill="auto"/>
            <w:vAlign w:val="center"/>
            <w:hideMark/>
          </w:tcPr>
          <w:p w:rsidR="00D947AF" w:rsidRPr="003F0923" w:rsidRDefault="00D947AF" w:rsidP="003F0923">
            <w:pPr>
              <w:rPr>
                <w:color w:val="000000" w:themeColor="text1"/>
                <w:sz w:val="20"/>
                <w:szCs w:val="20"/>
              </w:rPr>
            </w:pPr>
            <w:r w:rsidRPr="003F0923">
              <w:rPr>
                <w:color w:val="000000" w:themeColor="text1"/>
                <w:sz w:val="20"/>
                <w:szCs w:val="20"/>
              </w:rPr>
              <w:t>Sum squared resid</w:t>
            </w:r>
          </w:p>
        </w:tc>
        <w:tc>
          <w:tcPr>
            <w:tcW w:w="902"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24,225</w:t>
            </w:r>
          </w:p>
        </w:tc>
        <w:tc>
          <w:tcPr>
            <w:tcW w:w="2165" w:type="dxa"/>
            <w:gridSpan w:val="2"/>
            <w:tcBorders>
              <w:top w:val="nil"/>
              <w:left w:val="nil"/>
              <w:bottom w:val="nil"/>
              <w:right w:val="nil"/>
            </w:tcBorders>
            <w:shd w:val="clear" w:color="auto" w:fill="auto"/>
            <w:vAlign w:val="center"/>
            <w:hideMark/>
          </w:tcPr>
          <w:p w:rsidR="00D947AF" w:rsidRPr="003F0923" w:rsidRDefault="00D947AF" w:rsidP="003F0923">
            <w:pPr>
              <w:rPr>
                <w:color w:val="000000" w:themeColor="text1"/>
                <w:sz w:val="20"/>
                <w:szCs w:val="20"/>
              </w:rPr>
            </w:pPr>
            <w:r w:rsidRPr="003F0923">
              <w:rPr>
                <w:color w:val="000000" w:themeColor="text1"/>
                <w:sz w:val="20"/>
                <w:szCs w:val="20"/>
              </w:rPr>
              <w:t>Schwarz criterion</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1,234</w:t>
            </w:r>
          </w:p>
        </w:tc>
      </w:tr>
      <w:tr w:rsidR="00D947AF" w:rsidRPr="003F0923" w:rsidTr="00552A39">
        <w:trPr>
          <w:trHeight w:val="128"/>
        </w:trPr>
        <w:tc>
          <w:tcPr>
            <w:tcW w:w="1985" w:type="dxa"/>
            <w:gridSpan w:val="4"/>
            <w:tcBorders>
              <w:top w:val="nil"/>
              <w:left w:val="nil"/>
              <w:bottom w:val="nil"/>
              <w:right w:val="nil"/>
            </w:tcBorders>
            <w:shd w:val="clear" w:color="auto" w:fill="auto"/>
            <w:vAlign w:val="center"/>
            <w:hideMark/>
          </w:tcPr>
          <w:p w:rsidR="00D947AF" w:rsidRPr="003F0923" w:rsidRDefault="00D947AF" w:rsidP="003F0923">
            <w:pPr>
              <w:rPr>
                <w:color w:val="000000" w:themeColor="text1"/>
                <w:sz w:val="20"/>
                <w:szCs w:val="20"/>
              </w:rPr>
            </w:pPr>
            <w:r w:rsidRPr="003F0923">
              <w:rPr>
                <w:color w:val="000000" w:themeColor="text1"/>
                <w:sz w:val="20"/>
                <w:szCs w:val="20"/>
              </w:rPr>
              <w:lastRenderedPageBreak/>
              <w:t>Log likelihood</w:t>
            </w:r>
          </w:p>
        </w:tc>
        <w:tc>
          <w:tcPr>
            <w:tcW w:w="902"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-69,841</w:t>
            </w:r>
          </w:p>
        </w:tc>
        <w:tc>
          <w:tcPr>
            <w:tcW w:w="2165" w:type="dxa"/>
            <w:gridSpan w:val="2"/>
            <w:tcBorders>
              <w:top w:val="nil"/>
              <w:left w:val="nil"/>
              <w:bottom w:val="nil"/>
              <w:right w:val="nil"/>
            </w:tcBorders>
            <w:shd w:val="clear" w:color="auto" w:fill="auto"/>
            <w:vAlign w:val="center"/>
            <w:hideMark/>
          </w:tcPr>
          <w:p w:rsidR="00D947AF" w:rsidRPr="003F0923" w:rsidRDefault="00D947AF" w:rsidP="003F0923">
            <w:pPr>
              <w:rPr>
                <w:color w:val="000000" w:themeColor="text1"/>
                <w:sz w:val="20"/>
                <w:szCs w:val="20"/>
              </w:rPr>
            </w:pPr>
            <w:r w:rsidRPr="003F0923">
              <w:rPr>
                <w:color w:val="000000" w:themeColor="text1"/>
                <w:sz w:val="20"/>
                <w:szCs w:val="20"/>
              </w:rPr>
              <w:t>Hannan-Quinn criter.</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1,011</w:t>
            </w:r>
          </w:p>
        </w:tc>
      </w:tr>
      <w:tr w:rsidR="00D947AF" w:rsidRPr="003F0923" w:rsidTr="00552A39">
        <w:trPr>
          <w:trHeight w:val="128"/>
        </w:trPr>
        <w:tc>
          <w:tcPr>
            <w:tcW w:w="1985" w:type="dxa"/>
            <w:gridSpan w:val="4"/>
            <w:tcBorders>
              <w:top w:val="nil"/>
              <w:left w:val="nil"/>
              <w:bottom w:val="nil"/>
              <w:right w:val="nil"/>
            </w:tcBorders>
            <w:shd w:val="clear" w:color="auto" w:fill="auto"/>
            <w:vAlign w:val="center"/>
            <w:hideMark/>
          </w:tcPr>
          <w:p w:rsidR="00D947AF" w:rsidRPr="003F0923" w:rsidRDefault="00D947AF" w:rsidP="003F0923">
            <w:pPr>
              <w:rPr>
                <w:color w:val="000000" w:themeColor="text1"/>
                <w:sz w:val="20"/>
                <w:szCs w:val="20"/>
              </w:rPr>
            </w:pPr>
            <w:r w:rsidRPr="003F0923">
              <w:rPr>
                <w:color w:val="000000" w:themeColor="text1"/>
                <w:sz w:val="20"/>
                <w:szCs w:val="20"/>
              </w:rPr>
              <w:t>F-statistic</w:t>
            </w:r>
          </w:p>
        </w:tc>
        <w:tc>
          <w:tcPr>
            <w:tcW w:w="902"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24,109</w:t>
            </w:r>
          </w:p>
        </w:tc>
        <w:tc>
          <w:tcPr>
            <w:tcW w:w="2165" w:type="dxa"/>
            <w:gridSpan w:val="2"/>
            <w:tcBorders>
              <w:top w:val="nil"/>
              <w:left w:val="nil"/>
              <w:bottom w:val="nil"/>
              <w:right w:val="nil"/>
            </w:tcBorders>
            <w:shd w:val="clear" w:color="auto" w:fill="auto"/>
            <w:vAlign w:val="center"/>
            <w:hideMark/>
          </w:tcPr>
          <w:p w:rsidR="00D947AF" w:rsidRPr="003F0923" w:rsidRDefault="00D947AF" w:rsidP="003F0923">
            <w:pPr>
              <w:rPr>
                <w:color w:val="000000" w:themeColor="text1"/>
                <w:sz w:val="20"/>
                <w:szCs w:val="20"/>
              </w:rPr>
            </w:pPr>
            <w:r w:rsidRPr="003F0923">
              <w:rPr>
                <w:color w:val="000000" w:themeColor="text1"/>
                <w:sz w:val="20"/>
                <w:szCs w:val="20"/>
              </w:rPr>
              <w:t>Durbin-Watson stat</w:t>
            </w:r>
          </w:p>
        </w:tc>
        <w:tc>
          <w:tcPr>
            <w:tcW w:w="1079" w:type="dxa"/>
            <w:gridSpan w:val="2"/>
            <w:tcBorders>
              <w:top w:val="nil"/>
              <w:left w:val="nil"/>
              <w:bottom w:val="nil"/>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2,035</w:t>
            </w:r>
          </w:p>
        </w:tc>
      </w:tr>
      <w:tr w:rsidR="00D947AF" w:rsidRPr="003F0923" w:rsidTr="00552A39">
        <w:trPr>
          <w:trHeight w:val="70"/>
        </w:trPr>
        <w:tc>
          <w:tcPr>
            <w:tcW w:w="1985" w:type="dxa"/>
            <w:gridSpan w:val="4"/>
            <w:tcBorders>
              <w:top w:val="nil"/>
              <w:left w:val="nil"/>
              <w:bottom w:val="double" w:sz="6" w:space="0" w:color="auto"/>
              <w:right w:val="nil"/>
            </w:tcBorders>
            <w:shd w:val="clear" w:color="auto" w:fill="auto"/>
            <w:vAlign w:val="center"/>
            <w:hideMark/>
          </w:tcPr>
          <w:p w:rsidR="00D947AF" w:rsidRPr="003F0923" w:rsidRDefault="00D947AF" w:rsidP="003F0923">
            <w:pPr>
              <w:rPr>
                <w:color w:val="000000" w:themeColor="text1"/>
                <w:sz w:val="20"/>
                <w:szCs w:val="20"/>
              </w:rPr>
            </w:pPr>
            <w:r w:rsidRPr="003F0923">
              <w:rPr>
                <w:color w:val="000000" w:themeColor="text1"/>
                <w:sz w:val="20"/>
                <w:szCs w:val="20"/>
              </w:rPr>
              <w:t>Prob(F-statistic)</w:t>
            </w:r>
          </w:p>
        </w:tc>
        <w:tc>
          <w:tcPr>
            <w:tcW w:w="902" w:type="dxa"/>
            <w:gridSpan w:val="2"/>
            <w:tcBorders>
              <w:top w:val="nil"/>
              <w:left w:val="nil"/>
              <w:bottom w:val="double" w:sz="6" w:space="0" w:color="auto"/>
              <w:right w:val="nil"/>
            </w:tcBorders>
            <w:shd w:val="clear" w:color="auto" w:fill="auto"/>
            <w:vAlign w:val="bottom"/>
            <w:hideMark/>
          </w:tcPr>
          <w:p w:rsidR="00D947AF" w:rsidRPr="003F0923" w:rsidRDefault="00D947AF" w:rsidP="003F0923">
            <w:pPr>
              <w:jc w:val="right"/>
              <w:rPr>
                <w:color w:val="000000" w:themeColor="text1"/>
                <w:sz w:val="20"/>
                <w:szCs w:val="20"/>
              </w:rPr>
            </w:pPr>
            <w:r w:rsidRPr="003F0923">
              <w:rPr>
                <w:color w:val="000000"/>
                <w:sz w:val="20"/>
                <w:szCs w:val="20"/>
              </w:rPr>
              <w:t>0,000</w:t>
            </w:r>
          </w:p>
        </w:tc>
        <w:tc>
          <w:tcPr>
            <w:tcW w:w="991" w:type="dxa"/>
            <w:tcBorders>
              <w:top w:val="nil"/>
              <w:left w:val="nil"/>
              <w:bottom w:val="double" w:sz="6" w:space="0" w:color="auto"/>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 </w:t>
            </w:r>
          </w:p>
        </w:tc>
        <w:tc>
          <w:tcPr>
            <w:tcW w:w="1173" w:type="dxa"/>
            <w:tcBorders>
              <w:top w:val="nil"/>
              <w:left w:val="nil"/>
              <w:bottom w:val="double" w:sz="6" w:space="0" w:color="auto"/>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 </w:t>
            </w:r>
          </w:p>
        </w:tc>
        <w:tc>
          <w:tcPr>
            <w:tcW w:w="1079" w:type="dxa"/>
            <w:gridSpan w:val="2"/>
            <w:tcBorders>
              <w:top w:val="nil"/>
              <w:left w:val="nil"/>
              <w:bottom w:val="double" w:sz="6" w:space="0" w:color="auto"/>
              <w:right w:val="nil"/>
            </w:tcBorders>
            <w:shd w:val="clear" w:color="auto" w:fill="auto"/>
            <w:vAlign w:val="center"/>
            <w:hideMark/>
          </w:tcPr>
          <w:p w:rsidR="00D947AF" w:rsidRPr="003F0923" w:rsidRDefault="00D947AF" w:rsidP="003F0923">
            <w:pPr>
              <w:jc w:val="center"/>
              <w:rPr>
                <w:color w:val="000000" w:themeColor="text1"/>
                <w:sz w:val="20"/>
                <w:szCs w:val="20"/>
              </w:rPr>
            </w:pPr>
            <w:r w:rsidRPr="003F0923">
              <w:rPr>
                <w:color w:val="000000" w:themeColor="text1"/>
                <w:sz w:val="20"/>
                <w:szCs w:val="20"/>
              </w:rPr>
              <w:t> </w:t>
            </w:r>
          </w:p>
        </w:tc>
      </w:tr>
      <w:tr w:rsidR="0011126B" w:rsidRPr="003F0923" w:rsidTr="00552A3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30"/>
          <w:jc w:val="center"/>
        </w:trPr>
        <w:tc>
          <w:tcPr>
            <w:tcW w:w="162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1126B" w:rsidRPr="003F0923" w:rsidRDefault="0011126B" w:rsidP="003F0923">
            <w:pPr>
              <w:jc w:val="both"/>
              <w:rPr>
                <w:color w:val="000000" w:themeColor="text1"/>
                <w:sz w:val="20"/>
                <w:szCs w:val="20"/>
              </w:rPr>
            </w:pPr>
          </w:p>
        </w:tc>
        <w:tc>
          <w:tcPr>
            <w:tcW w:w="225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1126B" w:rsidRPr="003F0923" w:rsidRDefault="0011126B" w:rsidP="003F0923">
            <w:pPr>
              <w:jc w:val="center"/>
              <w:rPr>
                <w:b/>
                <w:color w:val="000000" w:themeColor="text1"/>
                <w:sz w:val="20"/>
                <w:szCs w:val="20"/>
              </w:rPr>
            </w:pPr>
            <w:r w:rsidRPr="003F0923">
              <w:rPr>
                <w:b/>
                <w:color w:val="000000" w:themeColor="text1"/>
                <w:sz w:val="20"/>
                <w:szCs w:val="20"/>
              </w:rPr>
              <w:t>G = 0</w:t>
            </w:r>
          </w:p>
        </w:tc>
        <w:tc>
          <w:tcPr>
            <w:tcW w:w="22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1126B" w:rsidRPr="003F0923" w:rsidRDefault="0011126B" w:rsidP="003F0923">
            <w:pPr>
              <w:jc w:val="center"/>
              <w:rPr>
                <w:b/>
                <w:color w:val="000000" w:themeColor="text1"/>
                <w:sz w:val="20"/>
                <w:szCs w:val="20"/>
              </w:rPr>
            </w:pPr>
            <w:r w:rsidRPr="003F0923">
              <w:rPr>
                <w:b/>
                <w:color w:val="000000" w:themeColor="text1"/>
                <w:sz w:val="20"/>
                <w:szCs w:val="20"/>
              </w:rPr>
              <w:t>G = 1</w:t>
            </w:r>
          </w:p>
        </w:tc>
      </w:tr>
      <w:tr w:rsidR="00D947AF" w:rsidRPr="003F0923" w:rsidTr="00552A3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30"/>
          <w:jc w:val="center"/>
        </w:trPr>
        <w:tc>
          <w:tcPr>
            <w:tcW w:w="16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947AF" w:rsidRPr="003F0923" w:rsidRDefault="00D947AF" w:rsidP="003F0923">
            <w:pPr>
              <w:jc w:val="both"/>
              <w:rPr>
                <w:color w:val="000000" w:themeColor="text1"/>
                <w:sz w:val="20"/>
                <w:szCs w:val="20"/>
              </w:rPr>
            </w:pPr>
            <w:r w:rsidRPr="003F0923">
              <w:rPr>
                <w:color w:val="000000" w:themeColor="text1"/>
                <w:sz w:val="20"/>
                <w:szCs w:val="20"/>
              </w:rPr>
              <w:t xml:space="preserve">SR ERPT </w:t>
            </w:r>
          </w:p>
        </w:tc>
        <w:tc>
          <w:tcPr>
            <w:tcW w:w="2255"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947AF" w:rsidRPr="003F0923" w:rsidRDefault="00D947AF" w:rsidP="003F0923">
            <w:pPr>
              <w:jc w:val="center"/>
              <w:rPr>
                <w:color w:val="000000" w:themeColor="text1"/>
                <w:sz w:val="20"/>
                <w:szCs w:val="20"/>
              </w:rPr>
            </w:pPr>
            <w:r w:rsidRPr="003F0923">
              <w:rPr>
                <w:color w:val="000000"/>
                <w:sz w:val="20"/>
                <w:szCs w:val="20"/>
              </w:rPr>
              <w:t>0,115</w:t>
            </w:r>
          </w:p>
        </w:tc>
        <w:tc>
          <w:tcPr>
            <w:tcW w:w="224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947AF" w:rsidRPr="003F0923" w:rsidRDefault="00D947AF" w:rsidP="003F0923">
            <w:pPr>
              <w:jc w:val="center"/>
              <w:rPr>
                <w:color w:val="000000" w:themeColor="text1"/>
                <w:sz w:val="20"/>
                <w:szCs w:val="20"/>
              </w:rPr>
            </w:pPr>
            <w:r w:rsidRPr="003F0923">
              <w:rPr>
                <w:color w:val="000000"/>
                <w:sz w:val="20"/>
                <w:szCs w:val="20"/>
              </w:rPr>
              <w:t>-0,291</w:t>
            </w:r>
          </w:p>
        </w:tc>
      </w:tr>
      <w:tr w:rsidR="00D947AF" w:rsidRPr="003F0923" w:rsidTr="00552A3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30"/>
          <w:jc w:val="center"/>
        </w:trPr>
        <w:tc>
          <w:tcPr>
            <w:tcW w:w="162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47AF" w:rsidRPr="003F0923" w:rsidRDefault="00D947AF" w:rsidP="003F0923">
            <w:pPr>
              <w:rPr>
                <w:i/>
                <w:color w:val="000000" w:themeColor="text1"/>
                <w:sz w:val="20"/>
                <w:szCs w:val="20"/>
              </w:rPr>
            </w:pPr>
            <w:r w:rsidRPr="003F0923">
              <w:rPr>
                <w:i/>
                <w:color w:val="000000" w:themeColor="text1"/>
                <w:sz w:val="20"/>
                <w:szCs w:val="20"/>
              </w:rPr>
              <w:t>p_value</w:t>
            </w:r>
          </w:p>
        </w:tc>
        <w:tc>
          <w:tcPr>
            <w:tcW w:w="2255"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947AF" w:rsidRPr="00552A39" w:rsidRDefault="00D947AF" w:rsidP="003F0923">
            <w:pPr>
              <w:jc w:val="center"/>
              <w:rPr>
                <w:i/>
                <w:color w:val="000000" w:themeColor="text1"/>
                <w:sz w:val="20"/>
                <w:szCs w:val="20"/>
              </w:rPr>
            </w:pPr>
            <w:r w:rsidRPr="00552A39">
              <w:rPr>
                <w:i/>
                <w:color w:val="000000"/>
                <w:sz w:val="20"/>
                <w:szCs w:val="20"/>
              </w:rPr>
              <w:t>0,006</w:t>
            </w:r>
          </w:p>
        </w:tc>
        <w:tc>
          <w:tcPr>
            <w:tcW w:w="22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947AF" w:rsidRPr="00552A39" w:rsidRDefault="00D947AF" w:rsidP="003F0923">
            <w:pPr>
              <w:jc w:val="center"/>
              <w:rPr>
                <w:i/>
                <w:color w:val="000000" w:themeColor="text1"/>
                <w:sz w:val="20"/>
                <w:szCs w:val="20"/>
              </w:rPr>
            </w:pPr>
            <w:r w:rsidRPr="00552A39">
              <w:rPr>
                <w:i/>
                <w:color w:val="000000"/>
                <w:sz w:val="20"/>
                <w:szCs w:val="20"/>
              </w:rPr>
              <w:t>0,009</w:t>
            </w:r>
          </w:p>
        </w:tc>
      </w:tr>
      <w:tr w:rsidR="00D947AF" w:rsidRPr="003F0923" w:rsidTr="00552A3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30"/>
          <w:jc w:val="center"/>
        </w:trPr>
        <w:tc>
          <w:tcPr>
            <w:tcW w:w="16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947AF" w:rsidRPr="003F0923" w:rsidRDefault="00D947AF" w:rsidP="003F0923">
            <w:pPr>
              <w:jc w:val="both"/>
              <w:rPr>
                <w:color w:val="000000" w:themeColor="text1"/>
                <w:sz w:val="20"/>
                <w:szCs w:val="20"/>
              </w:rPr>
            </w:pPr>
            <w:r w:rsidRPr="003F0923">
              <w:rPr>
                <w:color w:val="000000" w:themeColor="text1"/>
                <w:sz w:val="20"/>
                <w:szCs w:val="20"/>
              </w:rPr>
              <w:t>LR ERPT</w:t>
            </w:r>
          </w:p>
        </w:tc>
        <w:tc>
          <w:tcPr>
            <w:tcW w:w="2255"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947AF" w:rsidRPr="003F0923" w:rsidRDefault="00D947AF" w:rsidP="003F0923">
            <w:pPr>
              <w:jc w:val="center"/>
              <w:rPr>
                <w:color w:val="000000" w:themeColor="text1"/>
                <w:sz w:val="20"/>
                <w:szCs w:val="20"/>
              </w:rPr>
            </w:pPr>
            <w:r w:rsidRPr="003F0923">
              <w:rPr>
                <w:color w:val="000000"/>
                <w:sz w:val="20"/>
                <w:szCs w:val="20"/>
              </w:rPr>
              <w:t>1,079</w:t>
            </w:r>
          </w:p>
        </w:tc>
        <w:tc>
          <w:tcPr>
            <w:tcW w:w="224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947AF" w:rsidRPr="003F0923" w:rsidRDefault="00D947AF" w:rsidP="003F0923">
            <w:pPr>
              <w:jc w:val="center"/>
              <w:rPr>
                <w:color w:val="000000" w:themeColor="text1"/>
                <w:sz w:val="20"/>
                <w:szCs w:val="20"/>
              </w:rPr>
            </w:pPr>
            <w:r w:rsidRPr="003F0923">
              <w:rPr>
                <w:color w:val="000000"/>
                <w:sz w:val="20"/>
                <w:szCs w:val="20"/>
              </w:rPr>
              <w:t>-0,994</w:t>
            </w:r>
          </w:p>
        </w:tc>
      </w:tr>
      <w:tr w:rsidR="00D947AF" w:rsidRPr="003F0923" w:rsidTr="00552A3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22"/>
          <w:jc w:val="center"/>
        </w:trPr>
        <w:tc>
          <w:tcPr>
            <w:tcW w:w="162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47AF" w:rsidRPr="003F0923" w:rsidRDefault="00D947AF" w:rsidP="003F0923">
            <w:pPr>
              <w:jc w:val="both"/>
              <w:rPr>
                <w:i/>
                <w:color w:val="000000" w:themeColor="text1"/>
                <w:sz w:val="20"/>
                <w:szCs w:val="20"/>
              </w:rPr>
            </w:pPr>
            <w:r w:rsidRPr="003F0923">
              <w:rPr>
                <w:i/>
                <w:color w:val="000000" w:themeColor="text1"/>
                <w:sz w:val="20"/>
                <w:szCs w:val="20"/>
              </w:rPr>
              <w:t>p_value</w:t>
            </w:r>
          </w:p>
        </w:tc>
        <w:tc>
          <w:tcPr>
            <w:tcW w:w="2255"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947AF" w:rsidRPr="00552A39" w:rsidRDefault="00D947AF" w:rsidP="003F0923">
            <w:pPr>
              <w:jc w:val="center"/>
              <w:rPr>
                <w:i/>
                <w:color w:val="000000" w:themeColor="text1"/>
                <w:sz w:val="20"/>
                <w:szCs w:val="20"/>
              </w:rPr>
            </w:pPr>
            <w:r w:rsidRPr="00552A39">
              <w:rPr>
                <w:i/>
                <w:color w:val="000000"/>
                <w:sz w:val="20"/>
                <w:szCs w:val="20"/>
              </w:rPr>
              <w:t>0,000</w:t>
            </w:r>
          </w:p>
        </w:tc>
        <w:tc>
          <w:tcPr>
            <w:tcW w:w="224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947AF" w:rsidRPr="00552A39" w:rsidRDefault="00D947AF" w:rsidP="003F0923">
            <w:pPr>
              <w:jc w:val="center"/>
              <w:rPr>
                <w:i/>
                <w:color w:val="000000" w:themeColor="text1"/>
                <w:sz w:val="20"/>
                <w:szCs w:val="20"/>
              </w:rPr>
            </w:pPr>
            <w:r w:rsidRPr="00552A39">
              <w:rPr>
                <w:i/>
                <w:color w:val="000000"/>
                <w:sz w:val="20"/>
                <w:szCs w:val="20"/>
              </w:rPr>
              <w:t>0,000</w:t>
            </w:r>
          </w:p>
        </w:tc>
      </w:tr>
    </w:tbl>
    <w:bookmarkEnd w:id="93"/>
    <w:bookmarkEnd w:id="94"/>
    <w:p w:rsidR="0011126B" w:rsidRPr="000B3A8F" w:rsidRDefault="0011126B" w:rsidP="000B3A8F">
      <w:pPr>
        <w:spacing w:line="340" w:lineRule="exact"/>
        <w:jc w:val="both"/>
        <w:rPr>
          <w:color w:val="000000" w:themeColor="text1"/>
          <w:sz w:val="22"/>
          <w:szCs w:val="22"/>
        </w:rPr>
      </w:pPr>
      <w:r w:rsidRPr="000B3A8F">
        <w:rPr>
          <w:color w:val="000000" w:themeColor="text1"/>
          <w:sz w:val="22"/>
          <w:szCs w:val="22"/>
        </w:rPr>
        <w:t>Th</w:t>
      </w:r>
      <w:r w:rsidR="00F162C4" w:rsidRPr="000B3A8F">
        <w:rPr>
          <w:color w:val="000000" w:themeColor="text1"/>
          <w:sz w:val="22"/>
          <w:szCs w:val="22"/>
        </w:rPr>
        <w:t>e opposite results in the short-term illustrate that the problem of “menu cost”</w:t>
      </w:r>
      <w:r w:rsidRPr="000B3A8F">
        <w:rPr>
          <w:color w:val="000000" w:themeColor="text1"/>
          <w:sz w:val="22"/>
          <w:szCs w:val="22"/>
        </w:rPr>
        <w:t xml:space="preserve"> does not seem to exist in Vietnam, because firms are willing to convert changes in exchange rates into prices even if the c</w:t>
      </w:r>
      <w:r w:rsidR="00F162C4" w:rsidRPr="000B3A8F">
        <w:rPr>
          <w:color w:val="000000" w:themeColor="text1"/>
          <w:sz w:val="22"/>
          <w:szCs w:val="22"/>
        </w:rPr>
        <w:t xml:space="preserve">hange is below the threshold. </w:t>
      </w:r>
      <w:r w:rsidRPr="000B3A8F">
        <w:rPr>
          <w:color w:val="000000" w:themeColor="text1"/>
          <w:sz w:val="22"/>
          <w:szCs w:val="22"/>
        </w:rPr>
        <w:t xml:space="preserve">However, when the exchange rate fluctuations exceed the threshold, the rate of exchange rate transmission decreases, which shows that in Vietnam </w:t>
      </w:r>
      <w:r w:rsidR="00B64D8C" w:rsidRPr="000B3A8F">
        <w:rPr>
          <w:color w:val="000000" w:themeColor="text1"/>
          <w:sz w:val="22"/>
          <w:szCs w:val="22"/>
        </w:rPr>
        <w:t>there may exist the problem of “maintaining market share”</w:t>
      </w:r>
      <w:r w:rsidRPr="000B3A8F">
        <w:rPr>
          <w:color w:val="000000" w:themeColor="text1"/>
          <w:sz w:val="22"/>
          <w:szCs w:val="22"/>
        </w:rPr>
        <w:t xml:space="preserve"> affecting the pricing behavior of enterprises. This study result is similar to the empirical evidence found by Gil-Pareja (2000), Olivei (2002), Pollard and Coughlin (2004), Bussière (2013), No</w:t>
      </w:r>
      <w:r w:rsidR="00B64D8C" w:rsidRPr="000B3A8F">
        <w:rPr>
          <w:color w:val="000000" w:themeColor="text1"/>
          <w:sz w:val="22"/>
          <w:szCs w:val="22"/>
        </w:rPr>
        <w:t>gueira and León-Ledesma (2008)</w:t>
      </w:r>
      <w:r w:rsidRPr="000B3A8F">
        <w:rPr>
          <w:color w:val="000000" w:themeColor="text1"/>
          <w:sz w:val="22"/>
          <w:szCs w:val="22"/>
        </w:rPr>
        <w:t>, Cheikh (2012).</w:t>
      </w:r>
    </w:p>
    <w:bookmarkEnd w:id="91"/>
    <w:bookmarkEnd w:id="92"/>
    <w:p w:rsidR="00404B8C" w:rsidRPr="000B3A8F" w:rsidRDefault="00E8463A" w:rsidP="000B3A8F">
      <w:pPr>
        <w:pStyle w:val="Heading2"/>
        <w:spacing w:line="340" w:lineRule="exact"/>
        <w:rPr>
          <w:rFonts w:ascii="Times New Roman" w:hAnsi="Times New Roman" w:cs="Times New Roman"/>
          <w:b/>
          <w:color w:val="auto"/>
          <w:sz w:val="22"/>
          <w:szCs w:val="22"/>
        </w:rPr>
      </w:pPr>
      <w:r w:rsidRPr="000B3A8F">
        <w:rPr>
          <w:rFonts w:ascii="Times New Roman" w:hAnsi="Times New Roman" w:cs="Times New Roman"/>
          <w:b/>
          <w:color w:val="auto"/>
          <w:sz w:val="22"/>
          <w:szCs w:val="22"/>
        </w:rPr>
        <w:t xml:space="preserve">4.3 </w:t>
      </w:r>
      <w:r w:rsidR="005731FC" w:rsidRPr="000B3A8F">
        <w:rPr>
          <w:rFonts w:ascii="Times New Roman" w:hAnsi="Times New Roman" w:cs="Times New Roman"/>
          <w:b/>
          <w:color w:val="auto"/>
          <w:sz w:val="22"/>
          <w:szCs w:val="22"/>
        </w:rPr>
        <w:t>Volatility of exchange rate as transition</w:t>
      </w:r>
      <w:r w:rsidR="00561232" w:rsidRPr="000B3A8F">
        <w:rPr>
          <w:rFonts w:ascii="Times New Roman" w:hAnsi="Times New Roman" w:cs="Times New Roman"/>
          <w:b/>
          <w:color w:val="auto"/>
          <w:sz w:val="22"/>
          <w:szCs w:val="22"/>
        </w:rPr>
        <w:t xml:space="preserve"> variable</w:t>
      </w:r>
    </w:p>
    <w:p w:rsidR="00155A22" w:rsidRPr="000B3A8F" w:rsidRDefault="003E254C" w:rsidP="000B3A8F">
      <w:pPr>
        <w:spacing w:line="340" w:lineRule="exact"/>
        <w:jc w:val="both"/>
        <w:rPr>
          <w:color w:val="000000" w:themeColor="text1"/>
          <w:sz w:val="22"/>
          <w:szCs w:val="22"/>
        </w:rPr>
      </w:pPr>
      <w:bookmarkStart w:id="95" w:name="OLE_LINK261"/>
      <w:bookmarkStart w:id="96" w:name="OLE_LINK262"/>
      <w:r w:rsidRPr="000B3A8F">
        <w:rPr>
          <w:color w:val="000000" w:themeColor="text1"/>
          <w:sz w:val="22"/>
          <w:szCs w:val="22"/>
        </w:rPr>
        <w:t xml:space="preserve">The results from the thesis show a significant positive relationship between the level of volatility in the exchange rate (calculated by the standard deviation of the nominal daily rate) and the </w:t>
      </w:r>
      <w:r w:rsidR="00B653D2" w:rsidRPr="000B3A8F">
        <w:rPr>
          <w:color w:val="000000" w:themeColor="text1"/>
          <w:sz w:val="22"/>
          <w:szCs w:val="22"/>
        </w:rPr>
        <w:t xml:space="preserve">level </w:t>
      </w:r>
      <w:r w:rsidRPr="000B3A8F">
        <w:rPr>
          <w:color w:val="000000" w:themeColor="text1"/>
          <w:sz w:val="22"/>
          <w:szCs w:val="22"/>
        </w:rPr>
        <w:t xml:space="preserve">of exchange </w:t>
      </w:r>
      <w:r w:rsidR="00B653D2" w:rsidRPr="000B3A8F">
        <w:rPr>
          <w:color w:val="000000" w:themeColor="text1"/>
          <w:sz w:val="22"/>
          <w:szCs w:val="22"/>
        </w:rPr>
        <w:t>rate pass-through. In the short-</w:t>
      </w:r>
      <w:r w:rsidRPr="000B3A8F">
        <w:rPr>
          <w:color w:val="000000" w:themeColor="text1"/>
          <w:sz w:val="22"/>
          <w:szCs w:val="22"/>
        </w:rPr>
        <w:t xml:space="preserve">term, when the volatility of the exchange rate below </w:t>
      </w:r>
      <w:r w:rsidR="00EC4501" w:rsidRPr="000B3A8F">
        <w:rPr>
          <w:color w:val="000000" w:themeColor="text1"/>
          <w:sz w:val="22"/>
          <w:szCs w:val="22"/>
        </w:rPr>
        <w:t xml:space="preserve">the threshold </w:t>
      </w:r>
      <w:r w:rsidRPr="000B3A8F">
        <w:rPr>
          <w:color w:val="000000" w:themeColor="text1"/>
          <w:sz w:val="22"/>
          <w:szCs w:val="22"/>
        </w:rPr>
        <w:t xml:space="preserve">the pass-through level reaches -0,109 while </w:t>
      </w:r>
      <w:r w:rsidR="00EC4501" w:rsidRPr="000B3A8F">
        <w:rPr>
          <w:color w:val="000000" w:themeColor="text1"/>
          <w:sz w:val="22"/>
          <w:szCs w:val="22"/>
        </w:rPr>
        <w:t>it surpasses the threshold</w:t>
      </w:r>
      <w:r w:rsidRPr="000B3A8F">
        <w:rPr>
          <w:color w:val="000000" w:themeColor="text1"/>
          <w:sz w:val="22"/>
          <w:szCs w:val="22"/>
        </w:rPr>
        <w:t xml:space="preserve"> the pass-through will rise to 0.168. Similar res</w:t>
      </w:r>
      <w:r w:rsidR="00EC4501" w:rsidRPr="000B3A8F">
        <w:rPr>
          <w:color w:val="000000" w:themeColor="text1"/>
          <w:sz w:val="22"/>
          <w:szCs w:val="22"/>
        </w:rPr>
        <w:t xml:space="preserve">ults also find that in the </w:t>
      </w:r>
      <w:proofErr w:type="gramStart"/>
      <w:r w:rsidR="00EC4501" w:rsidRPr="000B3A8F">
        <w:rPr>
          <w:color w:val="000000" w:themeColor="text1"/>
          <w:sz w:val="22"/>
          <w:szCs w:val="22"/>
        </w:rPr>
        <w:t>long-</w:t>
      </w:r>
      <w:r w:rsidRPr="000B3A8F">
        <w:rPr>
          <w:color w:val="000000" w:themeColor="text1"/>
          <w:sz w:val="22"/>
          <w:szCs w:val="22"/>
        </w:rPr>
        <w:t>run</w:t>
      </w:r>
      <w:proofErr w:type="gramEnd"/>
      <w:r w:rsidRPr="000B3A8F">
        <w:rPr>
          <w:color w:val="000000" w:themeColor="text1"/>
          <w:sz w:val="22"/>
          <w:szCs w:val="22"/>
        </w:rPr>
        <w:t>, the exchange rate pass-through increases when the exchange rate volatility exceeds the threshold, but this result is not enough statistical evidence.</w:t>
      </w:r>
    </w:p>
    <w:p w:rsidR="00552A39" w:rsidRDefault="00552A39" w:rsidP="000B3A8F">
      <w:pPr>
        <w:spacing w:line="340" w:lineRule="exact"/>
        <w:jc w:val="center"/>
        <w:rPr>
          <w:b/>
          <w:color w:val="000000" w:themeColor="text1"/>
          <w:sz w:val="20"/>
          <w:szCs w:val="20"/>
        </w:rPr>
      </w:pPr>
    </w:p>
    <w:p w:rsidR="003C7677" w:rsidRPr="00552A39" w:rsidRDefault="00811530" w:rsidP="000B3A8F">
      <w:pPr>
        <w:spacing w:line="340" w:lineRule="exact"/>
        <w:jc w:val="center"/>
        <w:rPr>
          <w:b/>
          <w:color w:val="000000" w:themeColor="text1"/>
          <w:sz w:val="20"/>
          <w:szCs w:val="20"/>
        </w:rPr>
      </w:pPr>
      <w:r w:rsidRPr="00552A39">
        <w:rPr>
          <w:b/>
          <w:color w:val="000000" w:themeColor="text1"/>
          <w:sz w:val="20"/>
          <w:szCs w:val="20"/>
        </w:rPr>
        <w:lastRenderedPageBreak/>
        <w:t>Table</w:t>
      </w:r>
      <w:r w:rsidR="003C7677" w:rsidRPr="00552A39">
        <w:rPr>
          <w:b/>
          <w:color w:val="000000" w:themeColor="text1"/>
          <w:sz w:val="20"/>
          <w:szCs w:val="20"/>
        </w:rPr>
        <w:t xml:space="preserve"> 4.16: </w:t>
      </w:r>
      <w:r w:rsidRPr="00552A39">
        <w:rPr>
          <w:b/>
          <w:color w:val="000000" w:themeColor="text1"/>
          <w:sz w:val="20"/>
          <w:szCs w:val="20"/>
        </w:rPr>
        <w:t>Results with exchange rate volatility as transition variable</w:t>
      </w:r>
      <w:r w:rsidR="003C7677" w:rsidRPr="00552A39">
        <w:rPr>
          <w:b/>
          <w:color w:val="000000" w:themeColor="text1"/>
          <w:sz w:val="20"/>
          <w:szCs w:val="20"/>
        </w:rPr>
        <w:t xml:space="preserve"> </w:t>
      </w:r>
    </w:p>
    <w:tbl>
      <w:tblPr>
        <w:tblW w:w="6115" w:type="dxa"/>
        <w:tblLayout w:type="fixed"/>
        <w:tblLook w:val="04A0" w:firstRow="1" w:lastRow="0" w:firstColumn="1" w:lastColumn="0" w:noHBand="0" w:noVBand="1"/>
      </w:tblPr>
      <w:tblGrid>
        <w:gridCol w:w="1059"/>
        <w:gridCol w:w="21"/>
        <w:gridCol w:w="540"/>
        <w:gridCol w:w="360"/>
        <w:gridCol w:w="539"/>
        <w:gridCol w:w="361"/>
        <w:gridCol w:w="989"/>
        <w:gridCol w:w="1170"/>
        <w:gridCol w:w="1070"/>
        <w:gridCol w:w="6"/>
      </w:tblGrid>
      <w:tr w:rsidR="003E254C" w:rsidRPr="00552A39" w:rsidTr="003E254C">
        <w:trPr>
          <w:trHeight w:val="176"/>
        </w:trPr>
        <w:tc>
          <w:tcPr>
            <w:tcW w:w="1059" w:type="dxa"/>
            <w:tcBorders>
              <w:top w:val="double" w:sz="6" w:space="0" w:color="auto"/>
              <w:left w:val="nil"/>
              <w:bottom w:val="double" w:sz="6" w:space="0" w:color="auto"/>
              <w:right w:val="nil"/>
            </w:tcBorders>
            <w:shd w:val="clear" w:color="auto" w:fill="auto"/>
            <w:vAlign w:val="bottom"/>
            <w:hideMark/>
          </w:tcPr>
          <w:p w:rsidR="003E254C" w:rsidRPr="00552A39" w:rsidRDefault="003E254C" w:rsidP="00552A39">
            <w:pPr>
              <w:autoSpaceDE w:val="0"/>
              <w:autoSpaceDN w:val="0"/>
              <w:adjustRightInd w:val="0"/>
              <w:jc w:val="center"/>
              <w:rPr>
                <w:b/>
                <w:color w:val="000000" w:themeColor="text1"/>
                <w:sz w:val="20"/>
                <w:szCs w:val="20"/>
              </w:rPr>
            </w:pPr>
            <w:bookmarkStart w:id="97" w:name="OLE_LINK1083"/>
            <w:bookmarkStart w:id="98" w:name="OLE_LINK1084"/>
            <w:r w:rsidRPr="00552A39">
              <w:rPr>
                <w:b/>
                <w:color w:val="000000" w:themeColor="text1"/>
                <w:sz w:val="20"/>
                <w:szCs w:val="20"/>
              </w:rPr>
              <w:t>Variable</w:t>
            </w:r>
          </w:p>
        </w:tc>
        <w:tc>
          <w:tcPr>
            <w:tcW w:w="1460" w:type="dxa"/>
            <w:gridSpan w:val="4"/>
            <w:tcBorders>
              <w:top w:val="double" w:sz="6" w:space="0" w:color="auto"/>
              <w:left w:val="nil"/>
              <w:bottom w:val="double" w:sz="6" w:space="0" w:color="auto"/>
              <w:right w:val="nil"/>
            </w:tcBorders>
            <w:shd w:val="clear" w:color="auto" w:fill="auto"/>
            <w:vAlign w:val="bottom"/>
            <w:hideMark/>
          </w:tcPr>
          <w:p w:rsidR="003E254C" w:rsidRPr="00552A39" w:rsidRDefault="003E254C" w:rsidP="00552A39">
            <w:pPr>
              <w:autoSpaceDE w:val="0"/>
              <w:autoSpaceDN w:val="0"/>
              <w:adjustRightInd w:val="0"/>
              <w:ind w:right="10"/>
              <w:jc w:val="right"/>
              <w:rPr>
                <w:b/>
                <w:color w:val="000000" w:themeColor="text1"/>
                <w:sz w:val="20"/>
                <w:szCs w:val="20"/>
              </w:rPr>
            </w:pPr>
            <w:r w:rsidRPr="00552A39">
              <w:rPr>
                <w:b/>
                <w:color w:val="000000" w:themeColor="text1"/>
                <w:sz w:val="20"/>
                <w:szCs w:val="20"/>
              </w:rPr>
              <w:t>Coefficient</w:t>
            </w:r>
          </w:p>
        </w:tc>
        <w:tc>
          <w:tcPr>
            <w:tcW w:w="1350" w:type="dxa"/>
            <w:gridSpan w:val="2"/>
            <w:tcBorders>
              <w:top w:val="double" w:sz="6" w:space="0" w:color="auto"/>
              <w:left w:val="nil"/>
              <w:bottom w:val="double" w:sz="6" w:space="0" w:color="auto"/>
              <w:right w:val="nil"/>
            </w:tcBorders>
            <w:shd w:val="clear" w:color="auto" w:fill="auto"/>
            <w:vAlign w:val="bottom"/>
            <w:hideMark/>
          </w:tcPr>
          <w:p w:rsidR="003E254C" w:rsidRPr="00552A39" w:rsidRDefault="003E254C" w:rsidP="00552A39">
            <w:pPr>
              <w:autoSpaceDE w:val="0"/>
              <w:autoSpaceDN w:val="0"/>
              <w:adjustRightInd w:val="0"/>
              <w:ind w:right="10"/>
              <w:jc w:val="right"/>
              <w:rPr>
                <w:b/>
                <w:color w:val="000000" w:themeColor="text1"/>
                <w:sz w:val="20"/>
                <w:szCs w:val="20"/>
              </w:rPr>
            </w:pPr>
            <w:r w:rsidRPr="00552A39">
              <w:rPr>
                <w:b/>
                <w:color w:val="000000" w:themeColor="text1"/>
                <w:sz w:val="20"/>
                <w:szCs w:val="20"/>
              </w:rPr>
              <w:t>Std. Error</w:t>
            </w:r>
          </w:p>
        </w:tc>
        <w:tc>
          <w:tcPr>
            <w:tcW w:w="1170" w:type="dxa"/>
            <w:tcBorders>
              <w:top w:val="double" w:sz="6" w:space="0" w:color="auto"/>
              <w:left w:val="nil"/>
              <w:bottom w:val="double" w:sz="6" w:space="0" w:color="auto"/>
              <w:right w:val="nil"/>
            </w:tcBorders>
            <w:shd w:val="clear" w:color="auto" w:fill="auto"/>
            <w:vAlign w:val="bottom"/>
            <w:hideMark/>
          </w:tcPr>
          <w:p w:rsidR="003E254C" w:rsidRPr="00552A39" w:rsidRDefault="003E254C" w:rsidP="00552A39">
            <w:pPr>
              <w:autoSpaceDE w:val="0"/>
              <w:autoSpaceDN w:val="0"/>
              <w:adjustRightInd w:val="0"/>
              <w:ind w:right="10"/>
              <w:jc w:val="right"/>
              <w:rPr>
                <w:b/>
                <w:color w:val="000000" w:themeColor="text1"/>
                <w:sz w:val="20"/>
                <w:szCs w:val="20"/>
              </w:rPr>
            </w:pPr>
            <w:r w:rsidRPr="00552A39">
              <w:rPr>
                <w:b/>
                <w:color w:val="000000" w:themeColor="text1"/>
                <w:sz w:val="20"/>
                <w:szCs w:val="20"/>
              </w:rPr>
              <w:t>t-Statistic</w:t>
            </w:r>
          </w:p>
        </w:tc>
        <w:tc>
          <w:tcPr>
            <w:tcW w:w="1076" w:type="dxa"/>
            <w:gridSpan w:val="2"/>
            <w:tcBorders>
              <w:top w:val="double" w:sz="6" w:space="0" w:color="auto"/>
              <w:left w:val="nil"/>
              <w:bottom w:val="double" w:sz="6" w:space="0" w:color="auto"/>
              <w:right w:val="nil"/>
            </w:tcBorders>
            <w:shd w:val="clear" w:color="auto" w:fill="auto"/>
            <w:vAlign w:val="bottom"/>
            <w:hideMark/>
          </w:tcPr>
          <w:p w:rsidR="003E254C" w:rsidRPr="00552A39" w:rsidRDefault="003E254C" w:rsidP="00552A39">
            <w:pPr>
              <w:autoSpaceDE w:val="0"/>
              <w:autoSpaceDN w:val="0"/>
              <w:adjustRightInd w:val="0"/>
              <w:ind w:right="10"/>
              <w:jc w:val="right"/>
              <w:rPr>
                <w:b/>
                <w:color w:val="000000" w:themeColor="text1"/>
                <w:sz w:val="20"/>
                <w:szCs w:val="20"/>
              </w:rPr>
            </w:pPr>
            <w:r w:rsidRPr="00552A39">
              <w:rPr>
                <w:b/>
                <w:color w:val="000000" w:themeColor="text1"/>
                <w:sz w:val="20"/>
                <w:szCs w:val="20"/>
              </w:rPr>
              <w:t>Prob.  </w:t>
            </w:r>
          </w:p>
        </w:tc>
      </w:tr>
      <w:tr w:rsidR="003E254C" w:rsidRPr="00552A39" w:rsidTr="003E254C">
        <w:trPr>
          <w:gridAfter w:val="1"/>
          <w:wAfter w:w="6" w:type="dxa"/>
          <w:trHeight w:val="140"/>
        </w:trPr>
        <w:tc>
          <w:tcPr>
            <w:tcW w:w="6109" w:type="dxa"/>
            <w:gridSpan w:val="9"/>
            <w:tcBorders>
              <w:top w:val="nil"/>
              <w:left w:val="nil"/>
              <w:bottom w:val="double" w:sz="6" w:space="0" w:color="auto"/>
              <w:right w:val="nil"/>
            </w:tcBorders>
            <w:shd w:val="clear" w:color="auto" w:fill="auto"/>
            <w:vAlign w:val="center"/>
            <w:hideMark/>
          </w:tcPr>
          <w:p w:rsidR="003E254C" w:rsidRPr="00552A39" w:rsidRDefault="003E254C" w:rsidP="00552A39">
            <w:pPr>
              <w:jc w:val="center"/>
              <w:rPr>
                <w:b/>
                <w:bCs/>
                <w:color w:val="000000" w:themeColor="text1"/>
                <w:sz w:val="20"/>
                <w:szCs w:val="20"/>
              </w:rPr>
            </w:pPr>
            <w:r w:rsidRPr="00552A39">
              <w:rPr>
                <w:b/>
                <w:color w:val="000000" w:themeColor="text1"/>
                <w:sz w:val="20"/>
                <w:szCs w:val="20"/>
              </w:rPr>
              <w:t>Threshold Variables (linear part) G = 0</w:t>
            </w:r>
          </w:p>
        </w:tc>
      </w:tr>
      <w:tr w:rsidR="003E254C" w:rsidRPr="00552A39" w:rsidTr="003E254C">
        <w:trPr>
          <w:trHeight w:val="140"/>
        </w:trPr>
        <w:tc>
          <w:tcPr>
            <w:tcW w:w="1059" w:type="dxa"/>
            <w:tcBorders>
              <w:top w:val="nil"/>
              <w:left w:val="nil"/>
              <w:bottom w:val="nil"/>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c</w:t>
            </w:r>
          </w:p>
        </w:tc>
        <w:tc>
          <w:tcPr>
            <w:tcW w:w="1460" w:type="dxa"/>
            <w:gridSpan w:val="4"/>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0,120</w:t>
            </w:r>
          </w:p>
        </w:tc>
        <w:tc>
          <w:tcPr>
            <w:tcW w:w="1350" w:type="dxa"/>
            <w:gridSpan w:val="2"/>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0,039</w:t>
            </w:r>
          </w:p>
        </w:tc>
        <w:tc>
          <w:tcPr>
            <w:tcW w:w="1170" w:type="dxa"/>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3,041</w:t>
            </w:r>
          </w:p>
        </w:tc>
        <w:tc>
          <w:tcPr>
            <w:tcW w:w="1076" w:type="dxa"/>
            <w:gridSpan w:val="2"/>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0,003</w:t>
            </w:r>
          </w:p>
        </w:tc>
      </w:tr>
      <w:tr w:rsidR="003E254C" w:rsidRPr="00552A39" w:rsidTr="003E254C">
        <w:trPr>
          <w:trHeight w:val="134"/>
        </w:trPr>
        <w:tc>
          <w:tcPr>
            <w:tcW w:w="1059" w:type="dxa"/>
            <w:tcBorders>
              <w:top w:val="nil"/>
              <w:left w:val="nil"/>
              <w:bottom w:val="nil"/>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er</w:t>
            </w:r>
          </w:p>
        </w:tc>
        <w:tc>
          <w:tcPr>
            <w:tcW w:w="1460" w:type="dxa"/>
            <w:gridSpan w:val="4"/>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-0,109</w:t>
            </w:r>
          </w:p>
        </w:tc>
        <w:tc>
          <w:tcPr>
            <w:tcW w:w="1350" w:type="dxa"/>
            <w:gridSpan w:val="2"/>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0,054</w:t>
            </w:r>
          </w:p>
        </w:tc>
        <w:tc>
          <w:tcPr>
            <w:tcW w:w="1170" w:type="dxa"/>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-2,025</w:t>
            </w:r>
          </w:p>
        </w:tc>
        <w:tc>
          <w:tcPr>
            <w:tcW w:w="1076" w:type="dxa"/>
            <w:gridSpan w:val="2"/>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0,044</w:t>
            </w:r>
          </w:p>
        </w:tc>
      </w:tr>
      <w:tr w:rsidR="003E254C" w:rsidRPr="00552A39" w:rsidTr="003E254C">
        <w:trPr>
          <w:trHeight w:val="134"/>
        </w:trPr>
        <w:tc>
          <w:tcPr>
            <w:tcW w:w="1059" w:type="dxa"/>
            <w:tcBorders>
              <w:top w:val="nil"/>
              <w:left w:val="nil"/>
              <w:bottom w:val="nil"/>
              <w:right w:val="nil"/>
            </w:tcBorders>
            <w:shd w:val="clear" w:color="auto" w:fill="auto"/>
            <w:vAlign w:val="center"/>
          </w:tcPr>
          <w:p w:rsidR="003E254C" w:rsidRPr="00552A39" w:rsidRDefault="003E254C" w:rsidP="00552A39">
            <w:pPr>
              <w:jc w:val="center"/>
              <w:rPr>
                <w:color w:val="000000" w:themeColor="text1"/>
                <w:sz w:val="20"/>
                <w:szCs w:val="20"/>
              </w:rPr>
            </w:pPr>
            <w:r w:rsidRPr="00552A39">
              <w:rPr>
                <w:color w:val="000000" w:themeColor="text1"/>
                <w:sz w:val="20"/>
                <w:szCs w:val="20"/>
              </w:rPr>
              <w:t>er (-1)</w:t>
            </w:r>
          </w:p>
        </w:tc>
        <w:tc>
          <w:tcPr>
            <w:tcW w:w="1460" w:type="dxa"/>
            <w:gridSpan w:val="4"/>
            <w:tcBorders>
              <w:top w:val="nil"/>
              <w:left w:val="nil"/>
              <w:bottom w:val="nil"/>
              <w:right w:val="nil"/>
            </w:tcBorders>
            <w:shd w:val="clear" w:color="auto" w:fill="auto"/>
          </w:tcPr>
          <w:p w:rsidR="003E254C" w:rsidRPr="00552A39" w:rsidRDefault="003E254C" w:rsidP="00552A39">
            <w:pPr>
              <w:jc w:val="right"/>
              <w:rPr>
                <w:color w:val="000000" w:themeColor="text1"/>
                <w:sz w:val="20"/>
                <w:szCs w:val="20"/>
              </w:rPr>
            </w:pPr>
            <w:r w:rsidRPr="00552A39">
              <w:rPr>
                <w:sz w:val="20"/>
                <w:szCs w:val="20"/>
              </w:rPr>
              <w:t>0,143</w:t>
            </w:r>
          </w:p>
        </w:tc>
        <w:tc>
          <w:tcPr>
            <w:tcW w:w="1350" w:type="dxa"/>
            <w:gridSpan w:val="2"/>
            <w:tcBorders>
              <w:top w:val="nil"/>
              <w:left w:val="nil"/>
              <w:bottom w:val="nil"/>
              <w:right w:val="nil"/>
            </w:tcBorders>
            <w:shd w:val="clear" w:color="auto" w:fill="auto"/>
          </w:tcPr>
          <w:p w:rsidR="003E254C" w:rsidRPr="00552A39" w:rsidRDefault="003E254C" w:rsidP="00552A39">
            <w:pPr>
              <w:jc w:val="right"/>
              <w:rPr>
                <w:color w:val="000000" w:themeColor="text1"/>
                <w:sz w:val="20"/>
                <w:szCs w:val="20"/>
              </w:rPr>
            </w:pPr>
            <w:r w:rsidRPr="00552A39">
              <w:rPr>
                <w:sz w:val="20"/>
                <w:szCs w:val="20"/>
              </w:rPr>
              <w:t>0,039</w:t>
            </w:r>
          </w:p>
        </w:tc>
        <w:tc>
          <w:tcPr>
            <w:tcW w:w="1170" w:type="dxa"/>
            <w:tcBorders>
              <w:top w:val="nil"/>
              <w:left w:val="nil"/>
              <w:bottom w:val="nil"/>
              <w:right w:val="nil"/>
            </w:tcBorders>
            <w:shd w:val="clear" w:color="auto" w:fill="auto"/>
          </w:tcPr>
          <w:p w:rsidR="003E254C" w:rsidRPr="00552A39" w:rsidRDefault="003E254C" w:rsidP="00552A39">
            <w:pPr>
              <w:jc w:val="right"/>
              <w:rPr>
                <w:color w:val="000000" w:themeColor="text1"/>
                <w:sz w:val="20"/>
                <w:szCs w:val="20"/>
              </w:rPr>
            </w:pPr>
            <w:r w:rsidRPr="00552A39">
              <w:rPr>
                <w:sz w:val="20"/>
                <w:szCs w:val="20"/>
              </w:rPr>
              <w:t>3,664</w:t>
            </w:r>
          </w:p>
        </w:tc>
        <w:tc>
          <w:tcPr>
            <w:tcW w:w="1076" w:type="dxa"/>
            <w:gridSpan w:val="2"/>
            <w:tcBorders>
              <w:top w:val="nil"/>
              <w:left w:val="nil"/>
              <w:bottom w:val="nil"/>
              <w:right w:val="nil"/>
            </w:tcBorders>
            <w:shd w:val="clear" w:color="auto" w:fill="auto"/>
          </w:tcPr>
          <w:p w:rsidR="003E254C" w:rsidRPr="00552A39" w:rsidRDefault="003E254C" w:rsidP="00552A39">
            <w:pPr>
              <w:jc w:val="right"/>
              <w:rPr>
                <w:color w:val="000000" w:themeColor="text1"/>
                <w:sz w:val="20"/>
                <w:szCs w:val="20"/>
              </w:rPr>
            </w:pPr>
            <w:r w:rsidRPr="00552A39">
              <w:rPr>
                <w:sz w:val="20"/>
                <w:szCs w:val="20"/>
              </w:rPr>
              <w:t>0,000</w:t>
            </w:r>
          </w:p>
        </w:tc>
      </w:tr>
      <w:tr w:rsidR="003E254C" w:rsidRPr="00552A39" w:rsidTr="003E254C">
        <w:trPr>
          <w:trHeight w:val="140"/>
        </w:trPr>
        <w:tc>
          <w:tcPr>
            <w:tcW w:w="1059" w:type="dxa"/>
            <w:tcBorders>
              <w:top w:val="nil"/>
              <w:left w:val="nil"/>
              <w:bottom w:val="double" w:sz="6" w:space="0" w:color="auto"/>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er (-2)</w:t>
            </w:r>
          </w:p>
        </w:tc>
        <w:tc>
          <w:tcPr>
            <w:tcW w:w="1460" w:type="dxa"/>
            <w:gridSpan w:val="4"/>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-0.112</w:t>
            </w:r>
          </w:p>
        </w:tc>
        <w:tc>
          <w:tcPr>
            <w:tcW w:w="1350" w:type="dxa"/>
            <w:gridSpan w:val="2"/>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0,041</w:t>
            </w:r>
          </w:p>
        </w:tc>
        <w:tc>
          <w:tcPr>
            <w:tcW w:w="1170" w:type="dxa"/>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-2,766</w:t>
            </w:r>
          </w:p>
        </w:tc>
        <w:tc>
          <w:tcPr>
            <w:tcW w:w="1076" w:type="dxa"/>
            <w:gridSpan w:val="2"/>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0,006</w:t>
            </w:r>
          </w:p>
        </w:tc>
      </w:tr>
      <w:tr w:rsidR="003E254C" w:rsidRPr="00552A39" w:rsidTr="003E254C">
        <w:trPr>
          <w:gridAfter w:val="1"/>
          <w:wAfter w:w="6" w:type="dxa"/>
          <w:trHeight w:val="134"/>
        </w:trPr>
        <w:tc>
          <w:tcPr>
            <w:tcW w:w="6109" w:type="dxa"/>
            <w:gridSpan w:val="9"/>
            <w:tcBorders>
              <w:top w:val="nil"/>
              <w:left w:val="nil"/>
              <w:bottom w:val="double" w:sz="6" w:space="0" w:color="auto"/>
              <w:right w:val="nil"/>
            </w:tcBorders>
            <w:shd w:val="clear" w:color="auto" w:fill="auto"/>
            <w:vAlign w:val="center"/>
            <w:hideMark/>
          </w:tcPr>
          <w:p w:rsidR="003E254C" w:rsidRPr="00552A39" w:rsidRDefault="003E254C" w:rsidP="00552A39">
            <w:pPr>
              <w:jc w:val="center"/>
              <w:rPr>
                <w:b/>
                <w:bCs/>
                <w:color w:val="000000" w:themeColor="text1"/>
                <w:sz w:val="20"/>
                <w:szCs w:val="20"/>
              </w:rPr>
            </w:pPr>
            <w:r w:rsidRPr="00552A39">
              <w:rPr>
                <w:b/>
                <w:color w:val="000000" w:themeColor="text1"/>
                <w:sz w:val="20"/>
                <w:szCs w:val="20"/>
              </w:rPr>
              <w:t>Threshold Variables (nonlinear part) G = 1</w:t>
            </w:r>
          </w:p>
        </w:tc>
      </w:tr>
      <w:tr w:rsidR="003E254C" w:rsidRPr="00552A39" w:rsidTr="003E254C">
        <w:trPr>
          <w:trHeight w:val="140"/>
        </w:trPr>
        <w:tc>
          <w:tcPr>
            <w:tcW w:w="1059" w:type="dxa"/>
            <w:tcBorders>
              <w:top w:val="nil"/>
              <w:left w:val="nil"/>
              <w:bottom w:val="nil"/>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c</w:t>
            </w:r>
          </w:p>
        </w:tc>
        <w:tc>
          <w:tcPr>
            <w:tcW w:w="1460" w:type="dxa"/>
            <w:gridSpan w:val="4"/>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0,062</w:t>
            </w:r>
          </w:p>
        </w:tc>
        <w:tc>
          <w:tcPr>
            <w:tcW w:w="1350" w:type="dxa"/>
            <w:gridSpan w:val="2"/>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0,104</w:t>
            </w:r>
          </w:p>
        </w:tc>
        <w:tc>
          <w:tcPr>
            <w:tcW w:w="1170" w:type="dxa"/>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0,594</w:t>
            </w:r>
          </w:p>
        </w:tc>
        <w:tc>
          <w:tcPr>
            <w:tcW w:w="1076" w:type="dxa"/>
            <w:gridSpan w:val="2"/>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0,553</w:t>
            </w:r>
          </w:p>
        </w:tc>
      </w:tr>
      <w:tr w:rsidR="003E254C" w:rsidRPr="00552A39" w:rsidTr="003E254C">
        <w:trPr>
          <w:trHeight w:val="134"/>
        </w:trPr>
        <w:tc>
          <w:tcPr>
            <w:tcW w:w="1059" w:type="dxa"/>
            <w:tcBorders>
              <w:top w:val="nil"/>
              <w:left w:val="nil"/>
              <w:bottom w:val="nil"/>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er</w:t>
            </w:r>
          </w:p>
        </w:tc>
        <w:tc>
          <w:tcPr>
            <w:tcW w:w="1460" w:type="dxa"/>
            <w:gridSpan w:val="4"/>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0,277</w:t>
            </w:r>
          </w:p>
        </w:tc>
        <w:tc>
          <w:tcPr>
            <w:tcW w:w="1350" w:type="dxa"/>
            <w:gridSpan w:val="2"/>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0,121</w:t>
            </w:r>
          </w:p>
        </w:tc>
        <w:tc>
          <w:tcPr>
            <w:tcW w:w="1170" w:type="dxa"/>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2,294</w:t>
            </w:r>
          </w:p>
        </w:tc>
        <w:tc>
          <w:tcPr>
            <w:tcW w:w="1076" w:type="dxa"/>
            <w:gridSpan w:val="2"/>
            <w:tcBorders>
              <w:top w:val="nil"/>
              <w:left w:val="nil"/>
              <w:bottom w:val="nil"/>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0,023</w:t>
            </w:r>
          </w:p>
        </w:tc>
      </w:tr>
      <w:tr w:rsidR="003E254C" w:rsidRPr="00552A39" w:rsidTr="003E254C">
        <w:trPr>
          <w:trHeight w:val="134"/>
        </w:trPr>
        <w:tc>
          <w:tcPr>
            <w:tcW w:w="1059" w:type="dxa"/>
            <w:tcBorders>
              <w:top w:val="nil"/>
              <w:left w:val="nil"/>
              <w:bottom w:val="nil"/>
              <w:right w:val="nil"/>
            </w:tcBorders>
            <w:shd w:val="clear" w:color="auto" w:fill="auto"/>
            <w:vAlign w:val="center"/>
          </w:tcPr>
          <w:p w:rsidR="003E254C" w:rsidRPr="00552A39" w:rsidRDefault="003E254C" w:rsidP="00552A39">
            <w:pPr>
              <w:jc w:val="center"/>
              <w:rPr>
                <w:color w:val="000000" w:themeColor="text1"/>
                <w:sz w:val="20"/>
                <w:szCs w:val="20"/>
              </w:rPr>
            </w:pPr>
            <w:r w:rsidRPr="00552A39">
              <w:rPr>
                <w:color w:val="000000" w:themeColor="text1"/>
                <w:sz w:val="20"/>
                <w:szCs w:val="20"/>
              </w:rPr>
              <w:t>er (-1)</w:t>
            </w:r>
          </w:p>
        </w:tc>
        <w:tc>
          <w:tcPr>
            <w:tcW w:w="1460" w:type="dxa"/>
            <w:gridSpan w:val="4"/>
            <w:tcBorders>
              <w:top w:val="nil"/>
              <w:left w:val="nil"/>
              <w:bottom w:val="nil"/>
              <w:right w:val="nil"/>
            </w:tcBorders>
            <w:shd w:val="clear" w:color="auto" w:fill="auto"/>
          </w:tcPr>
          <w:p w:rsidR="003E254C" w:rsidRPr="00552A39" w:rsidRDefault="003E254C" w:rsidP="00552A39">
            <w:pPr>
              <w:jc w:val="right"/>
              <w:rPr>
                <w:color w:val="000000" w:themeColor="text1"/>
                <w:sz w:val="20"/>
                <w:szCs w:val="20"/>
              </w:rPr>
            </w:pPr>
            <w:r w:rsidRPr="00552A39">
              <w:rPr>
                <w:sz w:val="20"/>
                <w:szCs w:val="20"/>
              </w:rPr>
              <w:t>-0,195</w:t>
            </w:r>
          </w:p>
        </w:tc>
        <w:tc>
          <w:tcPr>
            <w:tcW w:w="1350" w:type="dxa"/>
            <w:gridSpan w:val="2"/>
            <w:tcBorders>
              <w:top w:val="nil"/>
              <w:left w:val="nil"/>
              <w:bottom w:val="nil"/>
              <w:right w:val="nil"/>
            </w:tcBorders>
            <w:shd w:val="clear" w:color="auto" w:fill="auto"/>
          </w:tcPr>
          <w:p w:rsidR="003E254C" w:rsidRPr="00552A39" w:rsidRDefault="003E254C" w:rsidP="00552A39">
            <w:pPr>
              <w:jc w:val="right"/>
              <w:rPr>
                <w:color w:val="000000" w:themeColor="text1"/>
                <w:sz w:val="20"/>
                <w:szCs w:val="20"/>
              </w:rPr>
            </w:pPr>
            <w:r w:rsidRPr="00552A39">
              <w:rPr>
                <w:sz w:val="20"/>
                <w:szCs w:val="20"/>
              </w:rPr>
              <w:t>0,175</w:t>
            </w:r>
          </w:p>
        </w:tc>
        <w:tc>
          <w:tcPr>
            <w:tcW w:w="1170" w:type="dxa"/>
            <w:tcBorders>
              <w:top w:val="nil"/>
              <w:left w:val="nil"/>
              <w:bottom w:val="nil"/>
              <w:right w:val="nil"/>
            </w:tcBorders>
            <w:shd w:val="clear" w:color="auto" w:fill="auto"/>
          </w:tcPr>
          <w:p w:rsidR="003E254C" w:rsidRPr="00552A39" w:rsidRDefault="003E254C" w:rsidP="00552A39">
            <w:pPr>
              <w:jc w:val="right"/>
              <w:rPr>
                <w:color w:val="000000" w:themeColor="text1"/>
                <w:sz w:val="20"/>
                <w:szCs w:val="20"/>
              </w:rPr>
            </w:pPr>
            <w:r w:rsidRPr="00552A39">
              <w:rPr>
                <w:sz w:val="20"/>
                <w:szCs w:val="20"/>
              </w:rPr>
              <w:t>-1,115</w:t>
            </w:r>
          </w:p>
        </w:tc>
        <w:tc>
          <w:tcPr>
            <w:tcW w:w="1076" w:type="dxa"/>
            <w:gridSpan w:val="2"/>
            <w:tcBorders>
              <w:top w:val="nil"/>
              <w:left w:val="nil"/>
              <w:bottom w:val="nil"/>
              <w:right w:val="nil"/>
            </w:tcBorders>
            <w:shd w:val="clear" w:color="auto" w:fill="auto"/>
          </w:tcPr>
          <w:p w:rsidR="003E254C" w:rsidRPr="00552A39" w:rsidRDefault="003E254C" w:rsidP="00552A39">
            <w:pPr>
              <w:jc w:val="right"/>
              <w:rPr>
                <w:color w:val="000000" w:themeColor="text1"/>
                <w:sz w:val="20"/>
                <w:szCs w:val="20"/>
              </w:rPr>
            </w:pPr>
            <w:r w:rsidRPr="00552A39">
              <w:rPr>
                <w:sz w:val="20"/>
                <w:szCs w:val="20"/>
              </w:rPr>
              <w:t>0,266</w:t>
            </w:r>
          </w:p>
        </w:tc>
      </w:tr>
      <w:tr w:rsidR="003E254C" w:rsidRPr="00552A39" w:rsidTr="003E254C">
        <w:trPr>
          <w:trHeight w:val="140"/>
        </w:trPr>
        <w:tc>
          <w:tcPr>
            <w:tcW w:w="1059" w:type="dxa"/>
            <w:tcBorders>
              <w:top w:val="nil"/>
              <w:left w:val="nil"/>
              <w:bottom w:val="double" w:sz="6" w:space="0" w:color="auto"/>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er (-2)</w:t>
            </w:r>
          </w:p>
        </w:tc>
        <w:tc>
          <w:tcPr>
            <w:tcW w:w="1460" w:type="dxa"/>
            <w:gridSpan w:val="4"/>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0,183</w:t>
            </w:r>
          </w:p>
        </w:tc>
        <w:tc>
          <w:tcPr>
            <w:tcW w:w="1350" w:type="dxa"/>
            <w:gridSpan w:val="2"/>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0,191</w:t>
            </w:r>
          </w:p>
        </w:tc>
        <w:tc>
          <w:tcPr>
            <w:tcW w:w="1170" w:type="dxa"/>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0,958</w:t>
            </w:r>
          </w:p>
        </w:tc>
        <w:tc>
          <w:tcPr>
            <w:tcW w:w="1076" w:type="dxa"/>
            <w:gridSpan w:val="2"/>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0,339</w:t>
            </w:r>
          </w:p>
        </w:tc>
      </w:tr>
      <w:tr w:rsidR="003E254C" w:rsidRPr="00552A39" w:rsidTr="003E254C">
        <w:trPr>
          <w:gridAfter w:val="1"/>
          <w:wAfter w:w="6" w:type="dxa"/>
          <w:trHeight w:val="134"/>
        </w:trPr>
        <w:tc>
          <w:tcPr>
            <w:tcW w:w="6109" w:type="dxa"/>
            <w:gridSpan w:val="9"/>
            <w:tcBorders>
              <w:top w:val="nil"/>
              <w:left w:val="nil"/>
              <w:bottom w:val="double" w:sz="6" w:space="0" w:color="auto"/>
              <w:right w:val="nil"/>
            </w:tcBorders>
            <w:shd w:val="clear" w:color="auto" w:fill="auto"/>
            <w:vAlign w:val="center"/>
            <w:hideMark/>
          </w:tcPr>
          <w:p w:rsidR="003E254C" w:rsidRPr="00552A39" w:rsidRDefault="003E254C" w:rsidP="00552A39">
            <w:pPr>
              <w:jc w:val="center"/>
              <w:rPr>
                <w:b/>
                <w:bCs/>
                <w:color w:val="000000" w:themeColor="text1"/>
                <w:sz w:val="20"/>
                <w:szCs w:val="20"/>
              </w:rPr>
            </w:pPr>
            <w:r w:rsidRPr="00552A39">
              <w:rPr>
                <w:b/>
                <w:color w:val="000000" w:themeColor="text1"/>
                <w:sz w:val="20"/>
                <w:szCs w:val="20"/>
              </w:rPr>
              <w:t>Non-Threshold Variables</w:t>
            </w:r>
          </w:p>
        </w:tc>
      </w:tr>
      <w:tr w:rsidR="003E254C" w:rsidRPr="00552A39" w:rsidTr="003E254C">
        <w:trPr>
          <w:trHeight w:val="140"/>
        </w:trPr>
        <w:tc>
          <w:tcPr>
            <w:tcW w:w="1059" w:type="dxa"/>
            <w:tcBorders>
              <w:top w:val="nil"/>
              <w:left w:val="nil"/>
              <w:bottom w:val="nil"/>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inf_sa (-1)</w:t>
            </w:r>
          </w:p>
        </w:tc>
        <w:tc>
          <w:tcPr>
            <w:tcW w:w="1460" w:type="dxa"/>
            <w:gridSpan w:val="4"/>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0,640</w:t>
            </w:r>
          </w:p>
        </w:tc>
        <w:tc>
          <w:tcPr>
            <w:tcW w:w="135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0,064</w:t>
            </w:r>
          </w:p>
        </w:tc>
        <w:tc>
          <w:tcPr>
            <w:tcW w:w="1170" w:type="dxa"/>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10,008</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0,000</w:t>
            </w:r>
          </w:p>
        </w:tc>
      </w:tr>
      <w:tr w:rsidR="003E254C" w:rsidRPr="00552A39" w:rsidTr="003E254C">
        <w:trPr>
          <w:trHeight w:val="140"/>
        </w:trPr>
        <w:tc>
          <w:tcPr>
            <w:tcW w:w="1059" w:type="dxa"/>
            <w:tcBorders>
              <w:top w:val="nil"/>
              <w:left w:val="nil"/>
              <w:bottom w:val="nil"/>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inf_sa (-2)</w:t>
            </w:r>
          </w:p>
        </w:tc>
        <w:tc>
          <w:tcPr>
            <w:tcW w:w="1460" w:type="dxa"/>
            <w:gridSpan w:val="4"/>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0,108</w:t>
            </w:r>
          </w:p>
        </w:tc>
        <w:tc>
          <w:tcPr>
            <w:tcW w:w="135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0,059</w:t>
            </w:r>
          </w:p>
        </w:tc>
        <w:tc>
          <w:tcPr>
            <w:tcW w:w="1170" w:type="dxa"/>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1,817</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0,071</w:t>
            </w:r>
          </w:p>
        </w:tc>
      </w:tr>
      <w:tr w:rsidR="003E254C" w:rsidRPr="00552A39" w:rsidTr="003E254C">
        <w:trPr>
          <w:trHeight w:val="140"/>
        </w:trPr>
        <w:tc>
          <w:tcPr>
            <w:tcW w:w="1059" w:type="dxa"/>
            <w:tcBorders>
              <w:top w:val="nil"/>
              <w:left w:val="nil"/>
              <w:bottom w:val="nil"/>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iip_sa</w:t>
            </w:r>
          </w:p>
        </w:tc>
        <w:tc>
          <w:tcPr>
            <w:tcW w:w="1460" w:type="dxa"/>
            <w:gridSpan w:val="4"/>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-0,007</w:t>
            </w:r>
          </w:p>
        </w:tc>
        <w:tc>
          <w:tcPr>
            <w:tcW w:w="135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0,008</w:t>
            </w:r>
          </w:p>
        </w:tc>
        <w:tc>
          <w:tcPr>
            <w:tcW w:w="1170" w:type="dxa"/>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-0,818</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0,414</w:t>
            </w:r>
          </w:p>
        </w:tc>
      </w:tr>
      <w:tr w:rsidR="003E254C" w:rsidRPr="00552A39" w:rsidTr="003E254C">
        <w:trPr>
          <w:trHeight w:val="140"/>
        </w:trPr>
        <w:tc>
          <w:tcPr>
            <w:tcW w:w="1059" w:type="dxa"/>
            <w:tcBorders>
              <w:top w:val="nil"/>
              <w:left w:val="nil"/>
              <w:bottom w:val="nil"/>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iip_sa (-1)</w:t>
            </w:r>
          </w:p>
        </w:tc>
        <w:tc>
          <w:tcPr>
            <w:tcW w:w="1460" w:type="dxa"/>
            <w:gridSpan w:val="4"/>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0,015</w:t>
            </w:r>
          </w:p>
        </w:tc>
        <w:tc>
          <w:tcPr>
            <w:tcW w:w="135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0,008</w:t>
            </w:r>
          </w:p>
        </w:tc>
        <w:tc>
          <w:tcPr>
            <w:tcW w:w="1170" w:type="dxa"/>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1,772</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0,078</w:t>
            </w:r>
          </w:p>
        </w:tc>
      </w:tr>
      <w:tr w:rsidR="003E254C" w:rsidRPr="00552A39" w:rsidTr="003E254C">
        <w:trPr>
          <w:trHeight w:val="140"/>
        </w:trPr>
        <w:tc>
          <w:tcPr>
            <w:tcW w:w="1059" w:type="dxa"/>
            <w:tcBorders>
              <w:top w:val="nil"/>
              <w:left w:val="nil"/>
              <w:bottom w:val="nil"/>
              <w:right w:val="nil"/>
            </w:tcBorders>
            <w:shd w:val="clear" w:color="auto" w:fill="auto"/>
            <w:hideMark/>
          </w:tcPr>
          <w:p w:rsidR="003E254C" w:rsidRPr="00552A39" w:rsidRDefault="003E254C" w:rsidP="00552A39">
            <w:pPr>
              <w:jc w:val="center"/>
              <w:rPr>
                <w:color w:val="000000" w:themeColor="text1"/>
                <w:sz w:val="20"/>
                <w:szCs w:val="20"/>
              </w:rPr>
            </w:pPr>
            <w:r w:rsidRPr="00552A39">
              <w:rPr>
                <w:color w:val="000000" w:themeColor="text1"/>
                <w:sz w:val="20"/>
                <w:szCs w:val="20"/>
              </w:rPr>
              <w:t>iip_sa (-2)</w:t>
            </w:r>
          </w:p>
        </w:tc>
        <w:tc>
          <w:tcPr>
            <w:tcW w:w="1460" w:type="dxa"/>
            <w:gridSpan w:val="4"/>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-0,001</w:t>
            </w:r>
          </w:p>
        </w:tc>
        <w:tc>
          <w:tcPr>
            <w:tcW w:w="135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0,008</w:t>
            </w:r>
          </w:p>
        </w:tc>
        <w:tc>
          <w:tcPr>
            <w:tcW w:w="1170" w:type="dxa"/>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-0,150</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0,881</w:t>
            </w:r>
          </w:p>
        </w:tc>
      </w:tr>
      <w:tr w:rsidR="003E254C" w:rsidRPr="00552A39" w:rsidTr="003E254C">
        <w:trPr>
          <w:trHeight w:val="140"/>
        </w:trPr>
        <w:tc>
          <w:tcPr>
            <w:tcW w:w="1059" w:type="dxa"/>
            <w:tcBorders>
              <w:top w:val="nil"/>
              <w:left w:val="nil"/>
              <w:bottom w:val="nil"/>
              <w:right w:val="nil"/>
            </w:tcBorders>
            <w:shd w:val="clear" w:color="auto" w:fill="auto"/>
            <w:hideMark/>
          </w:tcPr>
          <w:p w:rsidR="003E254C" w:rsidRPr="00552A39" w:rsidRDefault="003E254C" w:rsidP="00552A39">
            <w:pPr>
              <w:jc w:val="center"/>
              <w:rPr>
                <w:color w:val="000000" w:themeColor="text1"/>
                <w:sz w:val="20"/>
                <w:szCs w:val="20"/>
              </w:rPr>
            </w:pPr>
            <w:r w:rsidRPr="00552A39">
              <w:rPr>
                <w:color w:val="000000" w:themeColor="text1"/>
                <w:sz w:val="20"/>
                <w:szCs w:val="20"/>
              </w:rPr>
              <w:t>iip_sa (-3)</w:t>
            </w:r>
          </w:p>
        </w:tc>
        <w:tc>
          <w:tcPr>
            <w:tcW w:w="1460" w:type="dxa"/>
            <w:gridSpan w:val="4"/>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-0,017</w:t>
            </w:r>
          </w:p>
        </w:tc>
        <w:tc>
          <w:tcPr>
            <w:tcW w:w="135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0,008</w:t>
            </w:r>
          </w:p>
        </w:tc>
        <w:tc>
          <w:tcPr>
            <w:tcW w:w="1170" w:type="dxa"/>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-1,998</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0,047</w:t>
            </w:r>
          </w:p>
        </w:tc>
      </w:tr>
      <w:tr w:rsidR="003E254C" w:rsidRPr="00552A39" w:rsidTr="003E254C">
        <w:trPr>
          <w:trHeight w:val="140"/>
        </w:trPr>
        <w:tc>
          <w:tcPr>
            <w:tcW w:w="1059" w:type="dxa"/>
            <w:tcBorders>
              <w:top w:val="nil"/>
              <w:left w:val="nil"/>
              <w:bottom w:val="nil"/>
              <w:right w:val="nil"/>
            </w:tcBorders>
            <w:shd w:val="clear" w:color="auto" w:fill="auto"/>
            <w:hideMark/>
          </w:tcPr>
          <w:p w:rsidR="003E254C" w:rsidRPr="00552A39" w:rsidRDefault="003E254C" w:rsidP="00552A39">
            <w:pPr>
              <w:jc w:val="center"/>
              <w:rPr>
                <w:color w:val="000000" w:themeColor="text1"/>
                <w:sz w:val="20"/>
                <w:szCs w:val="20"/>
              </w:rPr>
            </w:pPr>
            <w:r w:rsidRPr="00552A39">
              <w:rPr>
                <w:color w:val="000000" w:themeColor="text1"/>
                <w:sz w:val="20"/>
                <w:szCs w:val="20"/>
              </w:rPr>
              <w:t>iip_sa (-4)</w:t>
            </w:r>
          </w:p>
        </w:tc>
        <w:tc>
          <w:tcPr>
            <w:tcW w:w="1460" w:type="dxa"/>
            <w:gridSpan w:val="4"/>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0,000</w:t>
            </w:r>
          </w:p>
        </w:tc>
        <w:tc>
          <w:tcPr>
            <w:tcW w:w="135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0,008</w:t>
            </w:r>
          </w:p>
        </w:tc>
        <w:tc>
          <w:tcPr>
            <w:tcW w:w="1170" w:type="dxa"/>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0,028</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0,978</w:t>
            </w:r>
          </w:p>
        </w:tc>
      </w:tr>
      <w:tr w:rsidR="003E254C" w:rsidRPr="00552A39" w:rsidTr="003E254C">
        <w:trPr>
          <w:trHeight w:val="140"/>
        </w:trPr>
        <w:tc>
          <w:tcPr>
            <w:tcW w:w="1059" w:type="dxa"/>
            <w:tcBorders>
              <w:top w:val="nil"/>
              <w:left w:val="nil"/>
              <w:bottom w:val="nil"/>
              <w:right w:val="nil"/>
            </w:tcBorders>
            <w:shd w:val="clear" w:color="auto" w:fill="auto"/>
            <w:hideMark/>
          </w:tcPr>
          <w:p w:rsidR="003E254C" w:rsidRPr="00552A39" w:rsidRDefault="003E254C" w:rsidP="00552A39">
            <w:pPr>
              <w:jc w:val="center"/>
              <w:rPr>
                <w:color w:val="000000" w:themeColor="text1"/>
                <w:sz w:val="20"/>
                <w:szCs w:val="20"/>
              </w:rPr>
            </w:pPr>
            <w:r w:rsidRPr="00552A39">
              <w:rPr>
                <w:color w:val="000000" w:themeColor="text1"/>
                <w:sz w:val="20"/>
                <w:szCs w:val="20"/>
              </w:rPr>
              <w:t>iip_sa (-5)</w:t>
            </w:r>
          </w:p>
        </w:tc>
        <w:tc>
          <w:tcPr>
            <w:tcW w:w="1460" w:type="dxa"/>
            <w:gridSpan w:val="4"/>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-0,004</w:t>
            </w:r>
          </w:p>
        </w:tc>
        <w:tc>
          <w:tcPr>
            <w:tcW w:w="135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0,008</w:t>
            </w:r>
          </w:p>
        </w:tc>
        <w:tc>
          <w:tcPr>
            <w:tcW w:w="1170" w:type="dxa"/>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-0,476</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0,635</w:t>
            </w:r>
          </w:p>
        </w:tc>
      </w:tr>
      <w:tr w:rsidR="003E254C" w:rsidRPr="00552A39" w:rsidTr="003E254C">
        <w:trPr>
          <w:trHeight w:val="140"/>
        </w:trPr>
        <w:tc>
          <w:tcPr>
            <w:tcW w:w="1059" w:type="dxa"/>
            <w:tcBorders>
              <w:top w:val="nil"/>
              <w:left w:val="nil"/>
              <w:bottom w:val="nil"/>
              <w:right w:val="nil"/>
            </w:tcBorders>
            <w:shd w:val="clear" w:color="auto" w:fill="auto"/>
            <w:hideMark/>
          </w:tcPr>
          <w:p w:rsidR="003E254C" w:rsidRPr="00552A39" w:rsidRDefault="003E254C" w:rsidP="00552A39">
            <w:pPr>
              <w:jc w:val="center"/>
              <w:rPr>
                <w:color w:val="000000" w:themeColor="text1"/>
                <w:sz w:val="20"/>
                <w:szCs w:val="20"/>
              </w:rPr>
            </w:pPr>
            <w:r w:rsidRPr="00552A39">
              <w:rPr>
                <w:color w:val="000000" w:themeColor="text1"/>
                <w:sz w:val="20"/>
                <w:szCs w:val="20"/>
              </w:rPr>
              <w:t>iip_sa (-6)</w:t>
            </w:r>
          </w:p>
        </w:tc>
        <w:tc>
          <w:tcPr>
            <w:tcW w:w="1460" w:type="dxa"/>
            <w:gridSpan w:val="4"/>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-0,002</w:t>
            </w:r>
          </w:p>
        </w:tc>
        <w:tc>
          <w:tcPr>
            <w:tcW w:w="135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0,008</w:t>
            </w:r>
          </w:p>
        </w:tc>
        <w:tc>
          <w:tcPr>
            <w:tcW w:w="1170" w:type="dxa"/>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-0,273</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0,785</w:t>
            </w:r>
          </w:p>
        </w:tc>
      </w:tr>
      <w:tr w:rsidR="003E254C" w:rsidRPr="00552A39" w:rsidTr="003E254C">
        <w:trPr>
          <w:trHeight w:val="140"/>
        </w:trPr>
        <w:tc>
          <w:tcPr>
            <w:tcW w:w="1059" w:type="dxa"/>
            <w:tcBorders>
              <w:top w:val="nil"/>
              <w:left w:val="nil"/>
              <w:bottom w:val="nil"/>
              <w:right w:val="nil"/>
            </w:tcBorders>
            <w:shd w:val="clear" w:color="auto" w:fill="auto"/>
          </w:tcPr>
          <w:p w:rsidR="003E254C" w:rsidRPr="00552A39" w:rsidRDefault="003E254C" w:rsidP="00552A39">
            <w:pPr>
              <w:jc w:val="center"/>
              <w:rPr>
                <w:color w:val="000000" w:themeColor="text1"/>
                <w:sz w:val="20"/>
                <w:szCs w:val="20"/>
              </w:rPr>
            </w:pPr>
            <w:r w:rsidRPr="00552A39">
              <w:rPr>
                <w:color w:val="000000" w:themeColor="text1"/>
                <w:sz w:val="20"/>
                <w:szCs w:val="20"/>
              </w:rPr>
              <w:t>iip_sa (-7)</w:t>
            </w:r>
          </w:p>
        </w:tc>
        <w:tc>
          <w:tcPr>
            <w:tcW w:w="1460" w:type="dxa"/>
            <w:gridSpan w:val="4"/>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-0,004</w:t>
            </w:r>
          </w:p>
        </w:tc>
        <w:tc>
          <w:tcPr>
            <w:tcW w:w="1350" w:type="dxa"/>
            <w:gridSpan w:val="2"/>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0,008</w:t>
            </w:r>
          </w:p>
        </w:tc>
        <w:tc>
          <w:tcPr>
            <w:tcW w:w="1170" w:type="dxa"/>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-0,503</w:t>
            </w:r>
          </w:p>
        </w:tc>
        <w:tc>
          <w:tcPr>
            <w:tcW w:w="1076" w:type="dxa"/>
            <w:gridSpan w:val="2"/>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0,615</w:t>
            </w:r>
          </w:p>
        </w:tc>
      </w:tr>
      <w:tr w:rsidR="003E254C" w:rsidRPr="00552A39" w:rsidTr="003E254C">
        <w:trPr>
          <w:trHeight w:val="140"/>
        </w:trPr>
        <w:tc>
          <w:tcPr>
            <w:tcW w:w="1059" w:type="dxa"/>
            <w:tcBorders>
              <w:top w:val="nil"/>
              <w:left w:val="nil"/>
              <w:bottom w:val="nil"/>
              <w:right w:val="nil"/>
            </w:tcBorders>
            <w:shd w:val="clear" w:color="auto" w:fill="auto"/>
          </w:tcPr>
          <w:p w:rsidR="003E254C" w:rsidRPr="00552A39" w:rsidRDefault="003E254C" w:rsidP="00552A39">
            <w:pPr>
              <w:jc w:val="center"/>
              <w:rPr>
                <w:color w:val="000000" w:themeColor="text1"/>
                <w:sz w:val="20"/>
                <w:szCs w:val="20"/>
              </w:rPr>
            </w:pPr>
            <w:r w:rsidRPr="00552A39">
              <w:rPr>
                <w:color w:val="000000" w:themeColor="text1"/>
                <w:sz w:val="20"/>
                <w:szCs w:val="20"/>
              </w:rPr>
              <w:t>iip_sa (-8)</w:t>
            </w:r>
          </w:p>
        </w:tc>
        <w:tc>
          <w:tcPr>
            <w:tcW w:w="1460" w:type="dxa"/>
            <w:gridSpan w:val="4"/>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-0,023</w:t>
            </w:r>
          </w:p>
        </w:tc>
        <w:tc>
          <w:tcPr>
            <w:tcW w:w="1350" w:type="dxa"/>
            <w:gridSpan w:val="2"/>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0,008</w:t>
            </w:r>
          </w:p>
        </w:tc>
        <w:tc>
          <w:tcPr>
            <w:tcW w:w="1170" w:type="dxa"/>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-2,842</w:t>
            </w:r>
          </w:p>
        </w:tc>
        <w:tc>
          <w:tcPr>
            <w:tcW w:w="1076" w:type="dxa"/>
            <w:gridSpan w:val="2"/>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0,005</w:t>
            </w:r>
          </w:p>
        </w:tc>
      </w:tr>
      <w:tr w:rsidR="003E254C" w:rsidRPr="00552A39" w:rsidTr="003E254C">
        <w:trPr>
          <w:trHeight w:val="140"/>
        </w:trPr>
        <w:tc>
          <w:tcPr>
            <w:tcW w:w="1059" w:type="dxa"/>
            <w:tcBorders>
              <w:top w:val="nil"/>
              <w:left w:val="nil"/>
              <w:bottom w:val="nil"/>
              <w:right w:val="nil"/>
            </w:tcBorders>
            <w:shd w:val="clear" w:color="auto" w:fill="auto"/>
          </w:tcPr>
          <w:p w:rsidR="003E254C" w:rsidRPr="00552A39" w:rsidRDefault="003E254C" w:rsidP="00552A39">
            <w:pPr>
              <w:jc w:val="center"/>
              <w:rPr>
                <w:color w:val="000000" w:themeColor="text1"/>
                <w:sz w:val="20"/>
                <w:szCs w:val="20"/>
              </w:rPr>
            </w:pPr>
            <w:r w:rsidRPr="00552A39">
              <w:rPr>
                <w:color w:val="000000" w:themeColor="text1"/>
                <w:sz w:val="20"/>
                <w:szCs w:val="20"/>
              </w:rPr>
              <w:t>iip_sa (-9)</w:t>
            </w:r>
          </w:p>
        </w:tc>
        <w:tc>
          <w:tcPr>
            <w:tcW w:w="1460" w:type="dxa"/>
            <w:gridSpan w:val="4"/>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0,013</w:t>
            </w:r>
          </w:p>
        </w:tc>
        <w:tc>
          <w:tcPr>
            <w:tcW w:w="1350" w:type="dxa"/>
            <w:gridSpan w:val="2"/>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0,008</w:t>
            </w:r>
          </w:p>
        </w:tc>
        <w:tc>
          <w:tcPr>
            <w:tcW w:w="1170" w:type="dxa"/>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1,640</w:t>
            </w:r>
          </w:p>
        </w:tc>
        <w:tc>
          <w:tcPr>
            <w:tcW w:w="1076" w:type="dxa"/>
            <w:gridSpan w:val="2"/>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0,103</w:t>
            </w:r>
          </w:p>
        </w:tc>
      </w:tr>
      <w:tr w:rsidR="003E254C" w:rsidRPr="00552A39" w:rsidTr="003E254C">
        <w:trPr>
          <w:trHeight w:val="140"/>
        </w:trPr>
        <w:tc>
          <w:tcPr>
            <w:tcW w:w="1059" w:type="dxa"/>
            <w:tcBorders>
              <w:top w:val="nil"/>
              <w:left w:val="nil"/>
              <w:bottom w:val="nil"/>
              <w:right w:val="nil"/>
            </w:tcBorders>
            <w:shd w:val="clear" w:color="auto" w:fill="auto"/>
            <w:vAlign w:val="center"/>
          </w:tcPr>
          <w:p w:rsidR="003E254C" w:rsidRPr="00552A39" w:rsidRDefault="003E254C" w:rsidP="00552A39">
            <w:pPr>
              <w:jc w:val="center"/>
              <w:rPr>
                <w:color w:val="000000" w:themeColor="text1"/>
                <w:sz w:val="20"/>
                <w:szCs w:val="20"/>
              </w:rPr>
            </w:pPr>
            <w:r w:rsidRPr="00552A39">
              <w:rPr>
                <w:color w:val="000000" w:themeColor="text1"/>
                <w:sz w:val="20"/>
                <w:szCs w:val="20"/>
              </w:rPr>
              <w:t>gpi</w:t>
            </w:r>
          </w:p>
        </w:tc>
        <w:tc>
          <w:tcPr>
            <w:tcW w:w="1460" w:type="dxa"/>
            <w:gridSpan w:val="4"/>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0,024</w:t>
            </w:r>
          </w:p>
        </w:tc>
        <w:tc>
          <w:tcPr>
            <w:tcW w:w="1350" w:type="dxa"/>
            <w:gridSpan w:val="2"/>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0,007</w:t>
            </w:r>
          </w:p>
        </w:tc>
        <w:tc>
          <w:tcPr>
            <w:tcW w:w="1170" w:type="dxa"/>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3,529</w:t>
            </w:r>
          </w:p>
        </w:tc>
        <w:tc>
          <w:tcPr>
            <w:tcW w:w="1076" w:type="dxa"/>
            <w:gridSpan w:val="2"/>
            <w:tcBorders>
              <w:top w:val="nil"/>
              <w:left w:val="nil"/>
              <w:bottom w:val="nil"/>
              <w:right w:val="nil"/>
            </w:tcBorders>
            <w:shd w:val="clear" w:color="auto" w:fill="auto"/>
            <w:vAlign w:val="bottom"/>
          </w:tcPr>
          <w:p w:rsidR="003E254C" w:rsidRPr="00552A39" w:rsidRDefault="003E254C" w:rsidP="00552A39">
            <w:pPr>
              <w:jc w:val="right"/>
              <w:rPr>
                <w:color w:val="000000" w:themeColor="text1"/>
                <w:sz w:val="20"/>
                <w:szCs w:val="20"/>
              </w:rPr>
            </w:pPr>
            <w:r w:rsidRPr="00552A39">
              <w:rPr>
                <w:color w:val="000000"/>
                <w:sz w:val="20"/>
                <w:szCs w:val="20"/>
              </w:rPr>
              <w:t>0,001</w:t>
            </w:r>
          </w:p>
        </w:tc>
      </w:tr>
      <w:tr w:rsidR="003E254C" w:rsidRPr="00552A39" w:rsidTr="003E254C">
        <w:trPr>
          <w:trHeight w:val="140"/>
        </w:trPr>
        <w:tc>
          <w:tcPr>
            <w:tcW w:w="1059" w:type="dxa"/>
            <w:tcBorders>
              <w:top w:val="nil"/>
              <w:left w:val="nil"/>
              <w:bottom w:val="double" w:sz="6" w:space="0" w:color="auto"/>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gpi (-1)</w:t>
            </w:r>
          </w:p>
        </w:tc>
        <w:tc>
          <w:tcPr>
            <w:tcW w:w="1460" w:type="dxa"/>
            <w:gridSpan w:val="4"/>
            <w:tcBorders>
              <w:top w:val="nil"/>
              <w:left w:val="nil"/>
              <w:bottom w:val="double" w:sz="6" w:space="0" w:color="auto"/>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0,021</w:t>
            </w:r>
          </w:p>
        </w:tc>
        <w:tc>
          <w:tcPr>
            <w:tcW w:w="1350" w:type="dxa"/>
            <w:gridSpan w:val="2"/>
            <w:tcBorders>
              <w:top w:val="nil"/>
              <w:left w:val="nil"/>
              <w:bottom w:val="double" w:sz="6" w:space="0" w:color="auto"/>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0,007</w:t>
            </w:r>
          </w:p>
        </w:tc>
        <w:tc>
          <w:tcPr>
            <w:tcW w:w="1170" w:type="dxa"/>
            <w:tcBorders>
              <w:top w:val="nil"/>
              <w:left w:val="nil"/>
              <w:bottom w:val="double" w:sz="6" w:space="0" w:color="auto"/>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3,047</w:t>
            </w:r>
          </w:p>
        </w:tc>
        <w:tc>
          <w:tcPr>
            <w:tcW w:w="1076" w:type="dxa"/>
            <w:gridSpan w:val="2"/>
            <w:tcBorders>
              <w:top w:val="nil"/>
              <w:left w:val="nil"/>
              <w:bottom w:val="double" w:sz="6" w:space="0" w:color="auto"/>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0,003</w:t>
            </w:r>
          </w:p>
        </w:tc>
      </w:tr>
      <w:tr w:rsidR="003E254C" w:rsidRPr="00552A39" w:rsidTr="003E254C">
        <w:trPr>
          <w:gridAfter w:val="1"/>
          <w:wAfter w:w="6" w:type="dxa"/>
          <w:trHeight w:val="134"/>
        </w:trPr>
        <w:tc>
          <w:tcPr>
            <w:tcW w:w="6109" w:type="dxa"/>
            <w:gridSpan w:val="9"/>
            <w:tcBorders>
              <w:top w:val="nil"/>
              <w:left w:val="nil"/>
              <w:bottom w:val="double" w:sz="6" w:space="0" w:color="auto"/>
              <w:right w:val="nil"/>
            </w:tcBorders>
            <w:shd w:val="clear" w:color="auto" w:fill="auto"/>
            <w:vAlign w:val="center"/>
            <w:hideMark/>
          </w:tcPr>
          <w:p w:rsidR="003E254C" w:rsidRPr="00552A39" w:rsidRDefault="003E254C" w:rsidP="00552A39">
            <w:pPr>
              <w:jc w:val="center"/>
              <w:rPr>
                <w:b/>
                <w:bCs/>
                <w:color w:val="000000" w:themeColor="text1"/>
                <w:sz w:val="20"/>
                <w:szCs w:val="20"/>
              </w:rPr>
            </w:pPr>
            <w:r w:rsidRPr="00552A39">
              <w:rPr>
                <w:b/>
                <w:bCs/>
                <w:color w:val="000000" w:themeColor="text1"/>
                <w:sz w:val="20"/>
                <w:szCs w:val="20"/>
              </w:rPr>
              <w:t>Slopes</w:t>
            </w:r>
          </w:p>
        </w:tc>
      </w:tr>
      <w:tr w:rsidR="003E254C" w:rsidRPr="00552A39" w:rsidTr="003E254C">
        <w:trPr>
          <w:trHeight w:val="147"/>
        </w:trPr>
        <w:tc>
          <w:tcPr>
            <w:tcW w:w="1080" w:type="dxa"/>
            <w:gridSpan w:val="2"/>
            <w:tcBorders>
              <w:top w:val="nil"/>
              <w:left w:val="nil"/>
              <w:bottom w:val="double" w:sz="6" w:space="0" w:color="auto"/>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 xml:space="preserve">Slope </w:t>
            </w:r>
          </w:p>
        </w:tc>
        <w:tc>
          <w:tcPr>
            <w:tcW w:w="1439" w:type="dxa"/>
            <w:gridSpan w:val="3"/>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2,927</w:t>
            </w:r>
          </w:p>
        </w:tc>
        <w:tc>
          <w:tcPr>
            <w:tcW w:w="1350" w:type="dxa"/>
            <w:gridSpan w:val="2"/>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4,486</w:t>
            </w:r>
          </w:p>
        </w:tc>
        <w:tc>
          <w:tcPr>
            <w:tcW w:w="1170" w:type="dxa"/>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0,653</w:t>
            </w:r>
          </w:p>
        </w:tc>
        <w:tc>
          <w:tcPr>
            <w:tcW w:w="1076" w:type="dxa"/>
            <w:gridSpan w:val="2"/>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0,515</w:t>
            </w:r>
          </w:p>
        </w:tc>
      </w:tr>
      <w:tr w:rsidR="003E254C" w:rsidRPr="00552A39" w:rsidTr="003E254C">
        <w:trPr>
          <w:gridAfter w:val="1"/>
          <w:wAfter w:w="6" w:type="dxa"/>
          <w:trHeight w:val="134"/>
        </w:trPr>
        <w:tc>
          <w:tcPr>
            <w:tcW w:w="6109" w:type="dxa"/>
            <w:gridSpan w:val="9"/>
            <w:tcBorders>
              <w:top w:val="nil"/>
              <w:left w:val="nil"/>
              <w:bottom w:val="double" w:sz="6" w:space="0" w:color="auto"/>
              <w:right w:val="nil"/>
            </w:tcBorders>
            <w:shd w:val="clear" w:color="auto" w:fill="auto"/>
            <w:vAlign w:val="center"/>
            <w:hideMark/>
          </w:tcPr>
          <w:p w:rsidR="003E254C" w:rsidRPr="00552A39" w:rsidRDefault="003E254C" w:rsidP="00552A39">
            <w:pPr>
              <w:jc w:val="center"/>
              <w:rPr>
                <w:b/>
                <w:bCs/>
                <w:color w:val="000000" w:themeColor="text1"/>
                <w:sz w:val="20"/>
                <w:szCs w:val="20"/>
              </w:rPr>
            </w:pPr>
            <w:r w:rsidRPr="00552A39">
              <w:rPr>
                <w:b/>
                <w:bCs/>
                <w:color w:val="000000" w:themeColor="text1"/>
                <w:sz w:val="20"/>
                <w:szCs w:val="20"/>
              </w:rPr>
              <w:t>Thresholds</w:t>
            </w:r>
          </w:p>
        </w:tc>
      </w:tr>
      <w:tr w:rsidR="003E254C" w:rsidRPr="00552A39" w:rsidTr="003E254C">
        <w:trPr>
          <w:trHeight w:val="147"/>
        </w:trPr>
        <w:tc>
          <w:tcPr>
            <w:tcW w:w="1059" w:type="dxa"/>
            <w:tcBorders>
              <w:top w:val="nil"/>
              <w:left w:val="nil"/>
              <w:bottom w:val="double" w:sz="6" w:space="0" w:color="auto"/>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Threshold</w:t>
            </w:r>
          </w:p>
        </w:tc>
        <w:tc>
          <w:tcPr>
            <w:tcW w:w="1460" w:type="dxa"/>
            <w:gridSpan w:val="4"/>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4,219</w:t>
            </w:r>
          </w:p>
        </w:tc>
        <w:tc>
          <w:tcPr>
            <w:tcW w:w="1350" w:type="dxa"/>
            <w:gridSpan w:val="2"/>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0,567</w:t>
            </w:r>
          </w:p>
        </w:tc>
        <w:tc>
          <w:tcPr>
            <w:tcW w:w="1170" w:type="dxa"/>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7,443</w:t>
            </w:r>
          </w:p>
        </w:tc>
        <w:tc>
          <w:tcPr>
            <w:tcW w:w="1076" w:type="dxa"/>
            <w:gridSpan w:val="2"/>
            <w:tcBorders>
              <w:top w:val="nil"/>
              <w:left w:val="nil"/>
              <w:bottom w:val="double" w:sz="6" w:space="0" w:color="auto"/>
              <w:right w:val="nil"/>
            </w:tcBorders>
            <w:shd w:val="clear" w:color="auto" w:fill="auto"/>
            <w:hideMark/>
          </w:tcPr>
          <w:p w:rsidR="003E254C" w:rsidRPr="00552A39" w:rsidRDefault="003E254C" w:rsidP="00552A39">
            <w:pPr>
              <w:jc w:val="right"/>
              <w:rPr>
                <w:color w:val="000000" w:themeColor="text1"/>
                <w:sz w:val="20"/>
                <w:szCs w:val="20"/>
              </w:rPr>
            </w:pPr>
            <w:r w:rsidRPr="00552A39">
              <w:rPr>
                <w:sz w:val="20"/>
                <w:szCs w:val="20"/>
              </w:rPr>
              <w:t>0,000</w:t>
            </w:r>
          </w:p>
        </w:tc>
      </w:tr>
      <w:tr w:rsidR="003E254C" w:rsidRPr="00552A39" w:rsidTr="003E254C">
        <w:trPr>
          <w:trHeight w:val="140"/>
        </w:trPr>
        <w:tc>
          <w:tcPr>
            <w:tcW w:w="1980" w:type="dxa"/>
            <w:gridSpan w:val="4"/>
            <w:tcBorders>
              <w:top w:val="nil"/>
              <w:left w:val="nil"/>
              <w:bottom w:val="nil"/>
              <w:right w:val="nil"/>
            </w:tcBorders>
            <w:shd w:val="clear" w:color="auto" w:fill="auto"/>
            <w:vAlign w:val="center"/>
            <w:hideMark/>
          </w:tcPr>
          <w:p w:rsidR="003E254C" w:rsidRPr="00552A39" w:rsidRDefault="003E254C" w:rsidP="00552A39">
            <w:pPr>
              <w:rPr>
                <w:color w:val="000000" w:themeColor="text1"/>
                <w:sz w:val="20"/>
                <w:szCs w:val="20"/>
              </w:rPr>
            </w:pPr>
            <w:r w:rsidRPr="00552A39">
              <w:rPr>
                <w:color w:val="000000" w:themeColor="text1"/>
                <w:sz w:val="20"/>
                <w:szCs w:val="20"/>
              </w:rPr>
              <w:t>R-squared</w:t>
            </w:r>
          </w:p>
        </w:tc>
        <w:tc>
          <w:tcPr>
            <w:tcW w:w="90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0,723</w:t>
            </w:r>
          </w:p>
        </w:tc>
        <w:tc>
          <w:tcPr>
            <w:tcW w:w="2159" w:type="dxa"/>
            <w:gridSpan w:val="2"/>
            <w:tcBorders>
              <w:top w:val="nil"/>
              <w:left w:val="nil"/>
              <w:bottom w:val="nil"/>
              <w:right w:val="nil"/>
            </w:tcBorders>
            <w:shd w:val="clear" w:color="auto" w:fill="auto"/>
            <w:vAlign w:val="center"/>
            <w:hideMark/>
          </w:tcPr>
          <w:p w:rsidR="003E254C" w:rsidRPr="00552A39" w:rsidRDefault="003E254C" w:rsidP="00552A39">
            <w:pPr>
              <w:rPr>
                <w:color w:val="000000" w:themeColor="text1"/>
                <w:sz w:val="20"/>
                <w:szCs w:val="20"/>
              </w:rPr>
            </w:pPr>
            <w:r w:rsidRPr="00552A39">
              <w:rPr>
                <w:color w:val="000000" w:themeColor="text1"/>
                <w:sz w:val="20"/>
                <w:szCs w:val="20"/>
              </w:rPr>
              <w:t>Mean dependent var</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0,554</w:t>
            </w:r>
          </w:p>
        </w:tc>
      </w:tr>
      <w:tr w:rsidR="003E254C" w:rsidRPr="00552A39" w:rsidTr="003E254C">
        <w:trPr>
          <w:trHeight w:val="140"/>
        </w:trPr>
        <w:tc>
          <w:tcPr>
            <w:tcW w:w="1980" w:type="dxa"/>
            <w:gridSpan w:val="4"/>
            <w:tcBorders>
              <w:top w:val="nil"/>
              <w:left w:val="nil"/>
              <w:bottom w:val="nil"/>
              <w:right w:val="nil"/>
            </w:tcBorders>
            <w:shd w:val="clear" w:color="auto" w:fill="auto"/>
            <w:vAlign w:val="center"/>
            <w:hideMark/>
          </w:tcPr>
          <w:p w:rsidR="003E254C" w:rsidRPr="00552A39" w:rsidRDefault="003E254C" w:rsidP="00552A39">
            <w:pPr>
              <w:rPr>
                <w:color w:val="000000" w:themeColor="text1"/>
                <w:sz w:val="20"/>
                <w:szCs w:val="20"/>
              </w:rPr>
            </w:pPr>
            <w:r w:rsidRPr="00552A39">
              <w:rPr>
                <w:color w:val="000000" w:themeColor="text1"/>
                <w:sz w:val="20"/>
                <w:szCs w:val="20"/>
              </w:rPr>
              <w:t>Adjusted R2</w:t>
            </w:r>
          </w:p>
        </w:tc>
        <w:tc>
          <w:tcPr>
            <w:tcW w:w="90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0,690</w:t>
            </w:r>
          </w:p>
        </w:tc>
        <w:tc>
          <w:tcPr>
            <w:tcW w:w="2159" w:type="dxa"/>
            <w:gridSpan w:val="2"/>
            <w:tcBorders>
              <w:top w:val="nil"/>
              <w:left w:val="nil"/>
              <w:bottom w:val="nil"/>
              <w:right w:val="nil"/>
            </w:tcBorders>
            <w:shd w:val="clear" w:color="auto" w:fill="auto"/>
            <w:vAlign w:val="center"/>
            <w:hideMark/>
          </w:tcPr>
          <w:p w:rsidR="003E254C" w:rsidRPr="00552A39" w:rsidRDefault="003E254C" w:rsidP="00552A39">
            <w:pPr>
              <w:rPr>
                <w:color w:val="000000" w:themeColor="text1"/>
                <w:sz w:val="20"/>
                <w:szCs w:val="20"/>
              </w:rPr>
            </w:pPr>
            <w:r w:rsidRPr="00552A39">
              <w:rPr>
                <w:color w:val="000000" w:themeColor="text1"/>
                <w:sz w:val="20"/>
                <w:szCs w:val="20"/>
              </w:rPr>
              <w:t>S.D. dependent var</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0,656</w:t>
            </w:r>
          </w:p>
        </w:tc>
      </w:tr>
      <w:tr w:rsidR="003E254C" w:rsidRPr="00552A39" w:rsidTr="003E254C">
        <w:trPr>
          <w:trHeight w:val="140"/>
        </w:trPr>
        <w:tc>
          <w:tcPr>
            <w:tcW w:w="1980" w:type="dxa"/>
            <w:gridSpan w:val="4"/>
            <w:tcBorders>
              <w:top w:val="nil"/>
              <w:left w:val="nil"/>
              <w:bottom w:val="nil"/>
              <w:right w:val="nil"/>
            </w:tcBorders>
            <w:shd w:val="clear" w:color="auto" w:fill="auto"/>
            <w:vAlign w:val="center"/>
            <w:hideMark/>
          </w:tcPr>
          <w:p w:rsidR="003E254C" w:rsidRPr="00552A39" w:rsidRDefault="003E254C" w:rsidP="00552A39">
            <w:pPr>
              <w:rPr>
                <w:color w:val="000000" w:themeColor="text1"/>
                <w:sz w:val="20"/>
                <w:szCs w:val="20"/>
              </w:rPr>
            </w:pPr>
            <w:r w:rsidRPr="00552A39">
              <w:rPr>
                <w:color w:val="000000" w:themeColor="text1"/>
                <w:sz w:val="20"/>
                <w:szCs w:val="20"/>
              </w:rPr>
              <w:t>S.E. of regression</w:t>
            </w:r>
          </w:p>
        </w:tc>
        <w:tc>
          <w:tcPr>
            <w:tcW w:w="90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0,365</w:t>
            </w:r>
          </w:p>
        </w:tc>
        <w:tc>
          <w:tcPr>
            <w:tcW w:w="2159" w:type="dxa"/>
            <w:gridSpan w:val="2"/>
            <w:tcBorders>
              <w:top w:val="nil"/>
              <w:left w:val="nil"/>
              <w:bottom w:val="nil"/>
              <w:right w:val="nil"/>
            </w:tcBorders>
            <w:shd w:val="clear" w:color="auto" w:fill="auto"/>
            <w:vAlign w:val="center"/>
            <w:hideMark/>
          </w:tcPr>
          <w:p w:rsidR="003E254C" w:rsidRPr="00552A39" w:rsidRDefault="003E254C" w:rsidP="00552A39">
            <w:pPr>
              <w:rPr>
                <w:color w:val="000000" w:themeColor="text1"/>
                <w:sz w:val="20"/>
                <w:szCs w:val="20"/>
              </w:rPr>
            </w:pPr>
            <w:r w:rsidRPr="00552A39">
              <w:rPr>
                <w:color w:val="000000" w:themeColor="text1"/>
                <w:sz w:val="20"/>
                <w:szCs w:val="20"/>
              </w:rPr>
              <w:t>Akaike info criterion</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0,927</w:t>
            </w:r>
          </w:p>
        </w:tc>
      </w:tr>
      <w:tr w:rsidR="003E254C" w:rsidRPr="00552A39" w:rsidTr="003E254C">
        <w:trPr>
          <w:trHeight w:val="140"/>
        </w:trPr>
        <w:tc>
          <w:tcPr>
            <w:tcW w:w="1980" w:type="dxa"/>
            <w:gridSpan w:val="4"/>
            <w:tcBorders>
              <w:top w:val="nil"/>
              <w:left w:val="nil"/>
              <w:bottom w:val="nil"/>
              <w:right w:val="nil"/>
            </w:tcBorders>
            <w:shd w:val="clear" w:color="auto" w:fill="auto"/>
            <w:vAlign w:val="center"/>
            <w:hideMark/>
          </w:tcPr>
          <w:p w:rsidR="003E254C" w:rsidRPr="00552A39" w:rsidRDefault="003E254C" w:rsidP="00552A39">
            <w:pPr>
              <w:rPr>
                <w:color w:val="000000" w:themeColor="text1"/>
                <w:sz w:val="20"/>
                <w:szCs w:val="20"/>
              </w:rPr>
            </w:pPr>
            <w:r w:rsidRPr="00552A39">
              <w:rPr>
                <w:color w:val="000000" w:themeColor="text1"/>
                <w:sz w:val="20"/>
                <w:szCs w:val="20"/>
              </w:rPr>
              <w:t>Sum squared resid</w:t>
            </w:r>
          </w:p>
        </w:tc>
        <w:tc>
          <w:tcPr>
            <w:tcW w:w="90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25,892</w:t>
            </w:r>
          </w:p>
        </w:tc>
        <w:tc>
          <w:tcPr>
            <w:tcW w:w="2159" w:type="dxa"/>
            <w:gridSpan w:val="2"/>
            <w:tcBorders>
              <w:top w:val="nil"/>
              <w:left w:val="nil"/>
              <w:bottom w:val="nil"/>
              <w:right w:val="nil"/>
            </w:tcBorders>
            <w:shd w:val="clear" w:color="auto" w:fill="auto"/>
            <w:vAlign w:val="center"/>
            <w:hideMark/>
          </w:tcPr>
          <w:p w:rsidR="003E254C" w:rsidRPr="00552A39" w:rsidRDefault="003E254C" w:rsidP="00552A39">
            <w:pPr>
              <w:rPr>
                <w:color w:val="000000" w:themeColor="text1"/>
                <w:sz w:val="20"/>
                <w:szCs w:val="20"/>
              </w:rPr>
            </w:pPr>
            <w:r w:rsidRPr="00552A39">
              <w:rPr>
                <w:color w:val="000000" w:themeColor="text1"/>
                <w:sz w:val="20"/>
                <w:szCs w:val="20"/>
              </w:rPr>
              <w:t>Schwarz criterion</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1,300</w:t>
            </w:r>
          </w:p>
        </w:tc>
      </w:tr>
      <w:tr w:rsidR="003E254C" w:rsidRPr="00552A39" w:rsidTr="003E254C">
        <w:trPr>
          <w:trHeight w:val="140"/>
        </w:trPr>
        <w:tc>
          <w:tcPr>
            <w:tcW w:w="1980" w:type="dxa"/>
            <w:gridSpan w:val="4"/>
            <w:tcBorders>
              <w:top w:val="nil"/>
              <w:left w:val="nil"/>
              <w:bottom w:val="nil"/>
              <w:right w:val="nil"/>
            </w:tcBorders>
            <w:shd w:val="clear" w:color="auto" w:fill="auto"/>
            <w:vAlign w:val="center"/>
            <w:hideMark/>
          </w:tcPr>
          <w:p w:rsidR="003E254C" w:rsidRPr="00552A39" w:rsidRDefault="003E254C" w:rsidP="00552A39">
            <w:pPr>
              <w:rPr>
                <w:color w:val="000000" w:themeColor="text1"/>
                <w:sz w:val="20"/>
                <w:szCs w:val="20"/>
              </w:rPr>
            </w:pPr>
            <w:r w:rsidRPr="00552A39">
              <w:rPr>
                <w:color w:val="000000" w:themeColor="text1"/>
                <w:sz w:val="20"/>
                <w:szCs w:val="20"/>
              </w:rPr>
              <w:t>Log likelihood</w:t>
            </w:r>
          </w:p>
        </w:tc>
        <w:tc>
          <w:tcPr>
            <w:tcW w:w="90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-77,096</w:t>
            </w:r>
          </w:p>
        </w:tc>
        <w:tc>
          <w:tcPr>
            <w:tcW w:w="2159" w:type="dxa"/>
            <w:gridSpan w:val="2"/>
            <w:tcBorders>
              <w:top w:val="nil"/>
              <w:left w:val="nil"/>
              <w:bottom w:val="nil"/>
              <w:right w:val="nil"/>
            </w:tcBorders>
            <w:shd w:val="clear" w:color="auto" w:fill="auto"/>
            <w:vAlign w:val="center"/>
            <w:hideMark/>
          </w:tcPr>
          <w:p w:rsidR="003E254C" w:rsidRPr="00552A39" w:rsidRDefault="003E254C" w:rsidP="00552A39">
            <w:pPr>
              <w:rPr>
                <w:color w:val="000000" w:themeColor="text1"/>
                <w:sz w:val="20"/>
                <w:szCs w:val="20"/>
              </w:rPr>
            </w:pPr>
            <w:r w:rsidRPr="00552A39">
              <w:rPr>
                <w:color w:val="000000" w:themeColor="text1"/>
                <w:sz w:val="20"/>
                <w:szCs w:val="20"/>
              </w:rPr>
              <w:t>Hannan-Quinn criter.</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1,078</w:t>
            </w:r>
          </w:p>
        </w:tc>
      </w:tr>
      <w:tr w:rsidR="003E254C" w:rsidRPr="00552A39" w:rsidTr="003E254C">
        <w:trPr>
          <w:trHeight w:val="140"/>
        </w:trPr>
        <w:tc>
          <w:tcPr>
            <w:tcW w:w="1980" w:type="dxa"/>
            <w:gridSpan w:val="4"/>
            <w:tcBorders>
              <w:top w:val="nil"/>
              <w:left w:val="nil"/>
              <w:bottom w:val="nil"/>
              <w:right w:val="nil"/>
            </w:tcBorders>
            <w:shd w:val="clear" w:color="auto" w:fill="auto"/>
            <w:vAlign w:val="center"/>
            <w:hideMark/>
          </w:tcPr>
          <w:p w:rsidR="003E254C" w:rsidRPr="00552A39" w:rsidRDefault="003E254C" w:rsidP="00552A39">
            <w:pPr>
              <w:rPr>
                <w:color w:val="000000" w:themeColor="text1"/>
                <w:sz w:val="20"/>
                <w:szCs w:val="20"/>
              </w:rPr>
            </w:pPr>
            <w:r w:rsidRPr="00552A39">
              <w:rPr>
                <w:color w:val="000000" w:themeColor="text1"/>
                <w:sz w:val="20"/>
                <w:szCs w:val="20"/>
              </w:rPr>
              <w:t>F-statistic</w:t>
            </w:r>
          </w:p>
        </w:tc>
        <w:tc>
          <w:tcPr>
            <w:tcW w:w="900"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22,013</w:t>
            </w:r>
          </w:p>
        </w:tc>
        <w:tc>
          <w:tcPr>
            <w:tcW w:w="2159" w:type="dxa"/>
            <w:gridSpan w:val="2"/>
            <w:tcBorders>
              <w:top w:val="nil"/>
              <w:left w:val="nil"/>
              <w:bottom w:val="nil"/>
              <w:right w:val="nil"/>
            </w:tcBorders>
            <w:shd w:val="clear" w:color="auto" w:fill="auto"/>
            <w:vAlign w:val="center"/>
            <w:hideMark/>
          </w:tcPr>
          <w:p w:rsidR="003E254C" w:rsidRPr="00552A39" w:rsidRDefault="003E254C" w:rsidP="00552A39">
            <w:pPr>
              <w:rPr>
                <w:color w:val="000000" w:themeColor="text1"/>
                <w:sz w:val="20"/>
                <w:szCs w:val="20"/>
              </w:rPr>
            </w:pPr>
            <w:r w:rsidRPr="00552A39">
              <w:rPr>
                <w:color w:val="000000" w:themeColor="text1"/>
                <w:sz w:val="20"/>
                <w:szCs w:val="20"/>
              </w:rPr>
              <w:t>Durbin-Watson stat</w:t>
            </w:r>
          </w:p>
        </w:tc>
        <w:tc>
          <w:tcPr>
            <w:tcW w:w="1076" w:type="dxa"/>
            <w:gridSpan w:val="2"/>
            <w:tcBorders>
              <w:top w:val="nil"/>
              <w:left w:val="nil"/>
              <w:bottom w:val="nil"/>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2,087</w:t>
            </w:r>
          </w:p>
        </w:tc>
      </w:tr>
      <w:tr w:rsidR="003E254C" w:rsidRPr="00552A39" w:rsidTr="003E254C">
        <w:trPr>
          <w:trHeight w:val="77"/>
        </w:trPr>
        <w:tc>
          <w:tcPr>
            <w:tcW w:w="1980" w:type="dxa"/>
            <w:gridSpan w:val="4"/>
            <w:tcBorders>
              <w:top w:val="nil"/>
              <w:left w:val="nil"/>
              <w:bottom w:val="double" w:sz="6" w:space="0" w:color="auto"/>
              <w:right w:val="nil"/>
            </w:tcBorders>
            <w:shd w:val="clear" w:color="auto" w:fill="auto"/>
            <w:vAlign w:val="center"/>
            <w:hideMark/>
          </w:tcPr>
          <w:p w:rsidR="003E254C" w:rsidRPr="00552A39" w:rsidRDefault="003E254C" w:rsidP="00552A39">
            <w:pPr>
              <w:rPr>
                <w:color w:val="000000" w:themeColor="text1"/>
                <w:sz w:val="20"/>
                <w:szCs w:val="20"/>
              </w:rPr>
            </w:pPr>
            <w:r w:rsidRPr="00552A39">
              <w:rPr>
                <w:color w:val="000000" w:themeColor="text1"/>
                <w:sz w:val="20"/>
                <w:szCs w:val="20"/>
              </w:rPr>
              <w:t>Prob(F-statistic)</w:t>
            </w:r>
          </w:p>
        </w:tc>
        <w:tc>
          <w:tcPr>
            <w:tcW w:w="900" w:type="dxa"/>
            <w:gridSpan w:val="2"/>
            <w:tcBorders>
              <w:top w:val="nil"/>
              <w:left w:val="nil"/>
              <w:bottom w:val="double" w:sz="6" w:space="0" w:color="auto"/>
              <w:right w:val="nil"/>
            </w:tcBorders>
            <w:shd w:val="clear" w:color="auto" w:fill="auto"/>
            <w:vAlign w:val="bottom"/>
            <w:hideMark/>
          </w:tcPr>
          <w:p w:rsidR="003E254C" w:rsidRPr="00552A39" w:rsidRDefault="003E254C" w:rsidP="00552A39">
            <w:pPr>
              <w:jc w:val="right"/>
              <w:rPr>
                <w:color w:val="000000" w:themeColor="text1"/>
                <w:sz w:val="20"/>
                <w:szCs w:val="20"/>
              </w:rPr>
            </w:pPr>
            <w:r w:rsidRPr="00552A39">
              <w:rPr>
                <w:color w:val="000000"/>
                <w:sz w:val="20"/>
                <w:szCs w:val="20"/>
              </w:rPr>
              <w:t>0,000</w:t>
            </w:r>
          </w:p>
        </w:tc>
        <w:tc>
          <w:tcPr>
            <w:tcW w:w="989" w:type="dxa"/>
            <w:tcBorders>
              <w:top w:val="nil"/>
              <w:left w:val="nil"/>
              <w:bottom w:val="double" w:sz="6" w:space="0" w:color="auto"/>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 </w:t>
            </w:r>
          </w:p>
        </w:tc>
        <w:tc>
          <w:tcPr>
            <w:tcW w:w="1170" w:type="dxa"/>
            <w:tcBorders>
              <w:top w:val="nil"/>
              <w:left w:val="nil"/>
              <w:bottom w:val="double" w:sz="6" w:space="0" w:color="auto"/>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 </w:t>
            </w:r>
          </w:p>
        </w:tc>
        <w:tc>
          <w:tcPr>
            <w:tcW w:w="1076" w:type="dxa"/>
            <w:gridSpan w:val="2"/>
            <w:tcBorders>
              <w:top w:val="nil"/>
              <w:left w:val="nil"/>
              <w:bottom w:val="double" w:sz="6" w:space="0" w:color="auto"/>
              <w:right w:val="nil"/>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themeColor="text1"/>
                <w:sz w:val="20"/>
                <w:szCs w:val="20"/>
              </w:rPr>
              <w:t> </w:t>
            </w:r>
          </w:p>
        </w:tc>
      </w:tr>
      <w:tr w:rsidR="003E254C" w:rsidRPr="00552A39" w:rsidTr="003E254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1"/>
          <w:jc w:val="center"/>
        </w:trPr>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254C" w:rsidRPr="00552A39" w:rsidRDefault="003E254C" w:rsidP="00552A39">
            <w:pPr>
              <w:jc w:val="both"/>
              <w:rPr>
                <w:color w:val="000000" w:themeColor="text1"/>
                <w:sz w:val="20"/>
                <w:szCs w:val="20"/>
              </w:rPr>
            </w:pPr>
          </w:p>
        </w:tc>
        <w:tc>
          <w:tcPr>
            <w:tcW w:w="224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E254C" w:rsidRPr="00552A39" w:rsidRDefault="003E254C" w:rsidP="00552A39">
            <w:pPr>
              <w:jc w:val="center"/>
              <w:rPr>
                <w:b/>
                <w:color w:val="000000" w:themeColor="text1"/>
                <w:sz w:val="20"/>
                <w:szCs w:val="20"/>
              </w:rPr>
            </w:pPr>
            <w:r w:rsidRPr="00552A39">
              <w:rPr>
                <w:b/>
                <w:color w:val="000000" w:themeColor="text1"/>
                <w:sz w:val="20"/>
                <w:szCs w:val="20"/>
              </w:rPr>
              <w:t>G = 0</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E254C" w:rsidRPr="00552A39" w:rsidRDefault="003E254C" w:rsidP="00552A39">
            <w:pPr>
              <w:jc w:val="center"/>
              <w:rPr>
                <w:b/>
                <w:color w:val="000000" w:themeColor="text1"/>
                <w:sz w:val="20"/>
                <w:szCs w:val="20"/>
              </w:rPr>
            </w:pPr>
            <w:r w:rsidRPr="00552A39">
              <w:rPr>
                <w:b/>
                <w:color w:val="000000" w:themeColor="text1"/>
                <w:sz w:val="20"/>
                <w:szCs w:val="20"/>
              </w:rPr>
              <w:t>G = 1</w:t>
            </w:r>
          </w:p>
        </w:tc>
      </w:tr>
      <w:tr w:rsidR="003E254C" w:rsidRPr="00552A39" w:rsidTr="003E254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1"/>
          <w:jc w:val="center"/>
        </w:trPr>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E254C" w:rsidRPr="00552A39" w:rsidRDefault="003E254C" w:rsidP="00552A39">
            <w:pPr>
              <w:jc w:val="both"/>
              <w:rPr>
                <w:color w:val="000000" w:themeColor="text1"/>
                <w:sz w:val="20"/>
                <w:szCs w:val="20"/>
              </w:rPr>
            </w:pPr>
            <w:r w:rsidRPr="00552A39">
              <w:rPr>
                <w:color w:val="000000" w:themeColor="text1"/>
                <w:sz w:val="20"/>
                <w:szCs w:val="20"/>
              </w:rPr>
              <w:t xml:space="preserve">SR ERPT </w:t>
            </w:r>
          </w:p>
        </w:tc>
        <w:tc>
          <w:tcPr>
            <w:tcW w:w="224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sz w:val="20"/>
                <w:szCs w:val="20"/>
              </w:rPr>
              <w:t>-0,109</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sz w:val="20"/>
                <w:szCs w:val="20"/>
              </w:rPr>
              <w:t>0,168</w:t>
            </w:r>
          </w:p>
        </w:tc>
      </w:tr>
      <w:tr w:rsidR="003E254C" w:rsidRPr="00552A39" w:rsidTr="003E254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1"/>
          <w:jc w:val="center"/>
        </w:trPr>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254C" w:rsidRPr="00552A39" w:rsidRDefault="003E254C" w:rsidP="00552A39">
            <w:pPr>
              <w:rPr>
                <w:i/>
                <w:color w:val="000000" w:themeColor="text1"/>
                <w:sz w:val="20"/>
                <w:szCs w:val="20"/>
              </w:rPr>
            </w:pPr>
            <w:r w:rsidRPr="00552A39">
              <w:rPr>
                <w:i/>
                <w:color w:val="000000" w:themeColor="text1"/>
                <w:sz w:val="20"/>
                <w:szCs w:val="20"/>
              </w:rPr>
              <w:t>p_value</w:t>
            </w:r>
          </w:p>
        </w:tc>
        <w:tc>
          <w:tcPr>
            <w:tcW w:w="224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E254C" w:rsidRPr="00552A39" w:rsidRDefault="003E254C" w:rsidP="00552A39">
            <w:pPr>
              <w:jc w:val="center"/>
              <w:rPr>
                <w:i/>
                <w:color w:val="000000" w:themeColor="text1"/>
                <w:sz w:val="20"/>
                <w:szCs w:val="20"/>
              </w:rPr>
            </w:pPr>
            <w:r w:rsidRPr="00552A39">
              <w:rPr>
                <w:color w:val="000000"/>
                <w:sz w:val="20"/>
                <w:szCs w:val="20"/>
              </w:rPr>
              <w:t>0,044</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254C" w:rsidRPr="00552A39" w:rsidRDefault="003E254C" w:rsidP="00552A39">
            <w:pPr>
              <w:jc w:val="center"/>
              <w:rPr>
                <w:i/>
                <w:color w:val="000000" w:themeColor="text1"/>
                <w:sz w:val="20"/>
                <w:szCs w:val="20"/>
              </w:rPr>
            </w:pPr>
            <w:r w:rsidRPr="00552A39">
              <w:rPr>
                <w:color w:val="000000"/>
                <w:sz w:val="20"/>
                <w:szCs w:val="20"/>
              </w:rPr>
              <w:t>0,093</w:t>
            </w:r>
          </w:p>
        </w:tc>
      </w:tr>
      <w:tr w:rsidR="003E254C" w:rsidRPr="00552A39" w:rsidTr="003E254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51"/>
          <w:jc w:val="center"/>
        </w:trPr>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E254C" w:rsidRPr="00552A39" w:rsidRDefault="003E254C" w:rsidP="00552A39">
            <w:pPr>
              <w:jc w:val="both"/>
              <w:rPr>
                <w:color w:val="000000" w:themeColor="text1"/>
                <w:sz w:val="20"/>
                <w:szCs w:val="20"/>
              </w:rPr>
            </w:pPr>
            <w:r w:rsidRPr="00552A39">
              <w:rPr>
                <w:color w:val="000000" w:themeColor="text1"/>
                <w:sz w:val="20"/>
                <w:szCs w:val="20"/>
              </w:rPr>
              <w:t>LR ERPT</w:t>
            </w:r>
          </w:p>
        </w:tc>
        <w:tc>
          <w:tcPr>
            <w:tcW w:w="224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sz w:val="20"/>
                <w:szCs w:val="20"/>
              </w:rPr>
              <w:t>-0,311</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E254C" w:rsidRPr="00552A39" w:rsidRDefault="003E254C" w:rsidP="00552A39">
            <w:pPr>
              <w:jc w:val="center"/>
              <w:rPr>
                <w:color w:val="000000" w:themeColor="text1"/>
                <w:sz w:val="20"/>
                <w:szCs w:val="20"/>
              </w:rPr>
            </w:pPr>
            <w:r w:rsidRPr="00552A39">
              <w:rPr>
                <w:color w:val="000000"/>
                <w:sz w:val="20"/>
                <w:szCs w:val="20"/>
              </w:rPr>
              <w:t>0,738</w:t>
            </w:r>
          </w:p>
        </w:tc>
      </w:tr>
      <w:tr w:rsidR="003E254C" w:rsidRPr="00552A39" w:rsidTr="003E254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42"/>
          <w:jc w:val="center"/>
        </w:trPr>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254C" w:rsidRPr="00552A39" w:rsidRDefault="003E254C" w:rsidP="00552A39">
            <w:pPr>
              <w:jc w:val="both"/>
              <w:rPr>
                <w:i/>
                <w:color w:val="000000" w:themeColor="text1"/>
                <w:sz w:val="20"/>
                <w:szCs w:val="20"/>
              </w:rPr>
            </w:pPr>
            <w:r w:rsidRPr="00552A39">
              <w:rPr>
                <w:i/>
                <w:color w:val="000000" w:themeColor="text1"/>
                <w:sz w:val="20"/>
                <w:szCs w:val="20"/>
              </w:rPr>
              <w:t>p_value</w:t>
            </w:r>
          </w:p>
        </w:tc>
        <w:tc>
          <w:tcPr>
            <w:tcW w:w="224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E254C" w:rsidRPr="00552A39" w:rsidRDefault="003E254C" w:rsidP="00552A39">
            <w:pPr>
              <w:jc w:val="center"/>
              <w:rPr>
                <w:i/>
                <w:color w:val="000000" w:themeColor="text1"/>
                <w:sz w:val="20"/>
                <w:szCs w:val="20"/>
              </w:rPr>
            </w:pPr>
            <w:r w:rsidRPr="00552A39">
              <w:rPr>
                <w:color w:val="000000"/>
                <w:sz w:val="20"/>
                <w:szCs w:val="20"/>
              </w:rPr>
              <w:t>0,343</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254C" w:rsidRPr="00552A39" w:rsidRDefault="003E254C" w:rsidP="00552A39">
            <w:pPr>
              <w:jc w:val="center"/>
              <w:rPr>
                <w:i/>
                <w:color w:val="000000" w:themeColor="text1"/>
                <w:sz w:val="20"/>
                <w:szCs w:val="20"/>
              </w:rPr>
            </w:pPr>
            <w:r w:rsidRPr="00552A39">
              <w:rPr>
                <w:color w:val="000000"/>
                <w:sz w:val="20"/>
                <w:szCs w:val="20"/>
              </w:rPr>
              <w:t>0,333</w:t>
            </w:r>
          </w:p>
        </w:tc>
      </w:tr>
    </w:tbl>
    <w:p w:rsidR="00552A39" w:rsidRPr="000B3A8F" w:rsidRDefault="00552A39" w:rsidP="00552A39">
      <w:pPr>
        <w:spacing w:line="340" w:lineRule="exact"/>
        <w:jc w:val="both"/>
        <w:rPr>
          <w:color w:val="000000" w:themeColor="text1"/>
          <w:sz w:val="22"/>
          <w:szCs w:val="22"/>
        </w:rPr>
      </w:pPr>
      <w:bookmarkStart w:id="99" w:name="OLE_LINK991"/>
      <w:bookmarkStart w:id="100" w:name="OLE_LINK992"/>
      <w:bookmarkEnd w:id="95"/>
      <w:bookmarkEnd w:id="96"/>
      <w:bookmarkEnd w:id="97"/>
      <w:bookmarkEnd w:id="98"/>
      <w:r w:rsidRPr="000B3A8F">
        <w:rPr>
          <w:color w:val="000000" w:themeColor="text1"/>
          <w:sz w:val="22"/>
          <w:szCs w:val="22"/>
        </w:rPr>
        <w:t>This result shows that when the volatility in the exchange rate is low, businesses can endure it, avoiding price changes, causing market share disturbance, and therefore low pass-through. However, when exchange rate volatility becomes high, an adjustment of prices to fully reflect the change in exchange rates is necessary to maintain stable and safe operations for the business, thus leads will increase in the same direction as exchange rate volatility</w:t>
      </w:r>
      <w:r>
        <w:rPr>
          <w:color w:val="000000" w:themeColor="text1"/>
          <w:sz w:val="22"/>
          <w:szCs w:val="22"/>
        </w:rPr>
        <w:t>.</w:t>
      </w:r>
    </w:p>
    <w:p w:rsidR="00106519" w:rsidRPr="00356702" w:rsidRDefault="00E8463A" w:rsidP="000B3A8F">
      <w:pPr>
        <w:pStyle w:val="Heading2"/>
        <w:spacing w:line="340" w:lineRule="exact"/>
        <w:rPr>
          <w:rFonts w:ascii="Times New Roman" w:hAnsi="Times New Roman" w:cs="Times New Roman"/>
          <w:b/>
          <w:color w:val="auto"/>
          <w:sz w:val="22"/>
          <w:szCs w:val="22"/>
        </w:rPr>
      </w:pPr>
      <w:r w:rsidRPr="00356702">
        <w:rPr>
          <w:rFonts w:ascii="Times New Roman" w:hAnsi="Times New Roman" w:cs="Times New Roman"/>
          <w:b/>
          <w:color w:val="auto"/>
          <w:sz w:val="22"/>
          <w:szCs w:val="22"/>
        </w:rPr>
        <w:t xml:space="preserve">4.4 </w:t>
      </w:r>
      <w:r w:rsidR="00011A08" w:rsidRPr="00356702">
        <w:rPr>
          <w:rFonts w:ascii="Times New Roman" w:hAnsi="Times New Roman" w:cs="Times New Roman"/>
          <w:b/>
          <w:color w:val="auto"/>
          <w:sz w:val="22"/>
          <w:szCs w:val="22"/>
        </w:rPr>
        <w:t>Growth of industrial production as transition</w:t>
      </w:r>
      <w:bookmarkEnd w:id="99"/>
      <w:bookmarkEnd w:id="100"/>
      <w:r w:rsidR="001818B2" w:rsidRPr="00356702">
        <w:rPr>
          <w:rFonts w:ascii="Times New Roman" w:hAnsi="Times New Roman" w:cs="Times New Roman"/>
          <w:b/>
          <w:color w:val="auto"/>
          <w:sz w:val="22"/>
          <w:szCs w:val="22"/>
        </w:rPr>
        <w:t xml:space="preserve"> variable</w:t>
      </w:r>
    </w:p>
    <w:p w:rsidR="007F4307" w:rsidRPr="00356702" w:rsidRDefault="001818B2" w:rsidP="00552A39">
      <w:pPr>
        <w:spacing w:line="340" w:lineRule="exact"/>
        <w:jc w:val="center"/>
        <w:rPr>
          <w:b/>
          <w:color w:val="000000" w:themeColor="text1"/>
          <w:sz w:val="18"/>
          <w:szCs w:val="18"/>
        </w:rPr>
      </w:pPr>
      <w:r w:rsidRPr="00356702">
        <w:rPr>
          <w:b/>
          <w:color w:val="000000" w:themeColor="text1"/>
          <w:sz w:val="18"/>
          <w:szCs w:val="18"/>
        </w:rPr>
        <w:t>Table</w:t>
      </w:r>
      <w:r w:rsidR="007F4307" w:rsidRPr="00356702">
        <w:rPr>
          <w:b/>
          <w:color w:val="000000" w:themeColor="text1"/>
          <w:sz w:val="18"/>
          <w:szCs w:val="18"/>
        </w:rPr>
        <w:t xml:space="preserve"> 4.19: </w:t>
      </w:r>
      <w:r w:rsidRPr="00356702">
        <w:rPr>
          <w:b/>
          <w:color w:val="000000" w:themeColor="text1"/>
          <w:sz w:val="18"/>
          <w:szCs w:val="18"/>
        </w:rPr>
        <w:t>Re</w:t>
      </w:r>
      <w:r w:rsidR="00FE2201" w:rsidRPr="00356702">
        <w:rPr>
          <w:b/>
          <w:color w:val="000000" w:themeColor="text1"/>
          <w:sz w:val="18"/>
          <w:szCs w:val="18"/>
        </w:rPr>
        <w:t>s</w:t>
      </w:r>
      <w:r w:rsidR="00BF2E22" w:rsidRPr="00356702">
        <w:rPr>
          <w:b/>
          <w:color w:val="000000" w:themeColor="text1"/>
          <w:sz w:val="18"/>
          <w:szCs w:val="18"/>
        </w:rPr>
        <w:t>ults with g</w:t>
      </w:r>
      <w:r w:rsidRPr="00356702">
        <w:rPr>
          <w:b/>
          <w:color w:val="000000" w:themeColor="text1"/>
          <w:sz w:val="18"/>
          <w:szCs w:val="18"/>
        </w:rPr>
        <w:t>rowth of industrial production as transition variable</w:t>
      </w:r>
      <w:bookmarkStart w:id="101" w:name="OLE_LINK916"/>
      <w:bookmarkStart w:id="102" w:name="OLE_LINK917"/>
    </w:p>
    <w:tbl>
      <w:tblPr>
        <w:tblW w:w="6060" w:type="dxa"/>
        <w:tblLayout w:type="fixed"/>
        <w:tblLook w:val="04A0" w:firstRow="1" w:lastRow="0" w:firstColumn="1" w:lastColumn="0" w:noHBand="0" w:noVBand="1"/>
      </w:tblPr>
      <w:tblGrid>
        <w:gridCol w:w="1170"/>
        <w:gridCol w:w="792"/>
        <w:gridCol w:w="18"/>
        <w:gridCol w:w="516"/>
        <w:gridCol w:w="358"/>
        <w:gridCol w:w="980"/>
        <w:gridCol w:w="1160"/>
        <w:gridCol w:w="1066"/>
      </w:tblGrid>
      <w:tr w:rsidR="006F0DDD" w:rsidRPr="005F0EDF" w:rsidTr="005F0EDF">
        <w:trPr>
          <w:trHeight w:val="167"/>
        </w:trPr>
        <w:tc>
          <w:tcPr>
            <w:tcW w:w="1170" w:type="dxa"/>
            <w:tcBorders>
              <w:top w:val="double" w:sz="6" w:space="0" w:color="auto"/>
              <w:left w:val="nil"/>
              <w:bottom w:val="double" w:sz="6" w:space="0" w:color="auto"/>
              <w:right w:val="nil"/>
            </w:tcBorders>
            <w:shd w:val="clear" w:color="auto" w:fill="auto"/>
            <w:vAlign w:val="bottom"/>
            <w:hideMark/>
          </w:tcPr>
          <w:p w:rsidR="006F0DDD" w:rsidRPr="005F0EDF" w:rsidRDefault="006F0DDD" w:rsidP="00356702">
            <w:pPr>
              <w:autoSpaceDE w:val="0"/>
              <w:autoSpaceDN w:val="0"/>
              <w:adjustRightInd w:val="0"/>
              <w:jc w:val="center"/>
              <w:rPr>
                <w:b/>
                <w:color w:val="000000" w:themeColor="text1"/>
                <w:sz w:val="20"/>
                <w:szCs w:val="20"/>
              </w:rPr>
            </w:pPr>
            <w:r w:rsidRPr="005F0EDF">
              <w:rPr>
                <w:b/>
                <w:color w:val="000000" w:themeColor="text1"/>
                <w:sz w:val="20"/>
                <w:szCs w:val="20"/>
              </w:rPr>
              <w:t>Variable</w:t>
            </w:r>
          </w:p>
        </w:tc>
        <w:tc>
          <w:tcPr>
            <w:tcW w:w="1326" w:type="dxa"/>
            <w:gridSpan w:val="3"/>
            <w:tcBorders>
              <w:top w:val="double" w:sz="6" w:space="0" w:color="auto"/>
              <w:left w:val="nil"/>
              <w:bottom w:val="double" w:sz="6" w:space="0" w:color="auto"/>
              <w:right w:val="nil"/>
            </w:tcBorders>
            <w:shd w:val="clear" w:color="auto" w:fill="auto"/>
            <w:vAlign w:val="bottom"/>
            <w:hideMark/>
          </w:tcPr>
          <w:p w:rsidR="006F0DDD" w:rsidRPr="005F0EDF" w:rsidRDefault="006F0DDD" w:rsidP="00356702">
            <w:pPr>
              <w:autoSpaceDE w:val="0"/>
              <w:autoSpaceDN w:val="0"/>
              <w:adjustRightInd w:val="0"/>
              <w:ind w:right="10"/>
              <w:jc w:val="right"/>
              <w:rPr>
                <w:b/>
                <w:color w:val="000000" w:themeColor="text1"/>
                <w:sz w:val="20"/>
                <w:szCs w:val="20"/>
              </w:rPr>
            </w:pPr>
            <w:r w:rsidRPr="005F0EDF">
              <w:rPr>
                <w:b/>
                <w:color w:val="000000" w:themeColor="text1"/>
                <w:sz w:val="20"/>
                <w:szCs w:val="20"/>
              </w:rPr>
              <w:t>Coefficient</w:t>
            </w:r>
          </w:p>
        </w:tc>
        <w:tc>
          <w:tcPr>
            <w:tcW w:w="1338" w:type="dxa"/>
            <w:gridSpan w:val="2"/>
            <w:tcBorders>
              <w:top w:val="double" w:sz="6" w:space="0" w:color="auto"/>
              <w:left w:val="nil"/>
              <w:bottom w:val="double" w:sz="6" w:space="0" w:color="auto"/>
              <w:right w:val="nil"/>
            </w:tcBorders>
            <w:shd w:val="clear" w:color="auto" w:fill="auto"/>
            <w:vAlign w:val="bottom"/>
            <w:hideMark/>
          </w:tcPr>
          <w:p w:rsidR="006F0DDD" w:rsidRPr="005F0EDF" w:rsidRDefault="006F0DDD" w:rsidP="00356702">
            <w:pPr>
              <w:autoSpaceDE w:val="0"/>
              <w:autoSpaceDN w:val="0"/>
              <w:adjustRightInd w:val="0"/>
              <w:ind w:right="10"/>
              <w:jc w:val="right"/>
              <w:rPr>
                <w:b/>
                <w:color w:val="000000" w:themeColor="text1"/>
                <w:sz w:val="20"/>
                <w:szCs w:val="20"/>
              </w:rPr>
            </w:pPr>
            <w:r w:rsidRPr="005F0EDF">
              <w:rPr>
                <w:b/>
                <w:color w:val="000000" w:themeColor="text1"/>
                <w:sz w:val="20"/>
                <w:szCs w:val="20"/>
              </w:rPr>
              <w:t>Std. Error</w:t>
            </w:r>
          </w:p>
        </w:tc>
        <w:tc>
          <w:tcPr>
            <w:tcW w:w="1160" w:type="dxa"/>
            <w:tcBorders>
              <w:top w:val="double" w:sz="6" w:space="0" w:color="auto"/>
              <w:left w:val="nil"/>
              <w:bottom w:val="double" w:sz="6" w:space="0" w:color="auto"/>
              <w:right w:val="nil"/>
            </w:tcBorders>
            <w:shd w:val="clear" w:color="auto" w:fill="auto"/>
            <w:vAlign w:val="bottom"/>
            <w:hideMark/>
          </w:tcPr>
          <w:p w:rsidR="006F0DDD" w:rsidRPr="005F0EDF" w:rsidRDefault="006F0DDD" w:rsidP="00356702">
            <w:pPr>
              <w:autoSpaceDE w:val="0"/>
              <w:autoSpaceDN w:val="0"/>
              <w:adjustRightInd w:val="0"/>
              <w:ind w:right="10"/>
              <w:jc w:val="right"/>
              <w:rPr>
                <w:b/>
                <w:color w:val="000000" w:themeColor="text1"/>
                <w:sz w:val="20"/>
                <w:szCs w:val="20"/>
              </w:rPr>
            </w:pPr>
            <w:r w:rsidRPr="005F0EDF">
              <w:rPr>
                <w:b/>
                <w:color w:val="000000" w:themeColor="text1"/>
                <w:sz w:val="20"/>
                <w:szCs w:val="20"/>
              </w:rPr>
              <w:t>t-Statistic</w:t>
            </w:r>
          </w:p>
        </w:tc>
        <w:tc>
          <w:tcPr>
            <w:tcW w:w="1066" w:type="dxa"/>
            <w:tcBorders>
              <w:top w:val="double" w:sz="6" w:space="0" w:color="auto"/>
              <w:left w:val="nil"/>
              <w:bottom w:val="double" w:sz="6" w:space="0" w:color="auto"/>
              <w:right w:val="nil"/>
            </w:tcBorders>
            <w:shd w:val="clear" w:color="auto" w:fill="auto"/>
            <w:vAlign w:val="bottom"/>
            <w:hideMark/>
          </w:tcPr>
          <w:p w:rsidR="006F0DDD" w:rsidRPr="005F0EDF" w:rsidRDefault="006F0DDD" w:rsidP="00356702">
            <w:pPr>
              <w:autoSpaceDE w:val="0"/>
              <w:autoSpaceDN w:val="0"/>
              <w:adjustRightInd w:val="0"/>
              <w:ind w:right="10"/>
              <w:jc w:val="right"/>
              <w:rPr>
                <w:b/>
                <w:color w:val="000000" w:themeColor="text1"/>
                <w:sz w:val="20"/>
                <w:szCs w:val="20"/>
              </w:rPr>
            </w:pPr>
            <w:r w:rsidRPr="005F0EDF">
              <w:rPr>
                <w:b/>
                <w:color w:val="000000" w:themeColor="text1"/>
                <w:sz w:val="20"/>
                <w:szCs w:val="20"/>
              </w:rPr>
              <w:t>Prob.  </w:t>
            </w:r>
          </w:p>
        </w:tc>
      </w:tr>
      <w:tr w:rsidR="006F0DDD" w:rsidRPr="005F0EDF" w:rsidTr="005F0EDF">
        <w:trPr>
          <w:trHeight w:val="133"/>
        </w:trPr>
        <w:tc>
          <w:tcPr>
            <w:tcW w:w="6060" w:type="dxa"/>
            <w:gridSpan w:val="8"/>
            <w:tcBorders>
              <w:top w:val="nil"/>
              <w:left w:val="nil"/>
              <w:bottom w:val="double" w:sz="6" w:space="0" w:color="auto"/>
              <w:right w:val="nil"/>
            </w:tcBorders>
            <w:shd w:val="clear" w:color="auto" w:fill="auto"/>
            <w:vAlign w:val="center"/>
            <w:hideMark/>
          </w:tcPr>
          <w:p w:rsidR="006F0DDD" w:rsidRPr="005F0EDF" w:rsidRDefault="006F0DDD" w:rsidP="00356702">
            <w:pPr>
              <w:jc w:val="center"/>
              <w:rPr>
                <w:b/>
                <w:bCs/>
                <w:color w:val="000000" w:themeColor="text1"/>
                <w:sz w:val="20"/>
                <w:szCs w:val="20"/>
              </w:rPr>
            </w:pPr>
            <w:r w:rsidRPr="005F0EDF">
              <w:rPr>
                <w:b/>
                <w:color w:val="000000" w:themeColor="text1"/>
                <w:sz w:val="20"/>
                <w:szCs w:val="20"/>
              </w:rPr>
              <w:t>Threshold Variables (linear part) G = 0</w:t>
            </w:r>
          </w:p>
        </w:tc>
      </w:tr>
      <w:tr w:rsidR="00397539" w:rsidRPr="005F0EDF" w:rsidTr="005F0EDF">
        <w:trPr>
          <w:trHeight w:val="133"/>
        </w:trPr>
        <w:tc>
          <w:tcPr>
            <w:tcW w:w="1170" w:type="dxa"/>
            <w:tcBorders>
              <w:top w:val="nil"/>
              <w:left w:val="nil"/>
              <w:bottom w:val="nil"/>
              <w:right w:val="nil"/>
            </w:tcBorders>
            <w:shd w:val="clear" w:color="auto" w:fill="auto"/>
            <w:vAlign w:val="center"/>
            <w:hideMark/>
          </w:tcPr>
          <w:p w:rsidR="00397539" w:rsidRPr="005F0EDF" w:rsidRDefault="00397539" w:rsidP="00356702">
            <w:pPr>
              <w:jc w:val="center"/>
              <w:rPr>
                <w:color w:val="000000" w:themeColor="text1"/>
                <w:sz w:val="20"/>
                <w:szCs w:val="20"/>
              </w:rPr>
            </w:pPr>
            <w:r w:rsidRPr="005F0EDF">
              <w:rPr>
                <w:color w:val="000000" w:themeColor="text1"/>
                <w:sz w:val="20"/>
                <w:szCs w:val="20"/>
              </w:rPr>
              <w:t>c</w:t>
            </w:r>
          </w:p>
        </w:tc>
        <w:tc>
          <w:tcPr>
            <w:tcW w:w="1326" w:type="dxa"/>
            <w:gridSpan w:val="3"/>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0,120</w:t>
            </w:r>
          </w:p>
        </w:tc>
        <w:tc>
          <w:tcPr>
            <w:tcW w:w="1338" w:type="dxa"/>
            <w:gridSpan w:val="2"/>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0,054</w:t>
            </w:r>
          </w:p>
        </w:tc>
        <w:tc>
          <w:tcPr>
            <w:tcW w:w="1160"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2,234</w:t>
            </w:r>
          </w:p>
        </w:tc>
        <w:tc>
          <w:tcPr>
            <w:tcW w:w="1066"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0,027</w:t>
            </w:r>
          </w:p>
        </w:tc>
      </w:tr>
      <w:tr w:rsidR="00397539" w:rsidRPr="005F0EDF" w:rsidTr="005F0EDF">
        <w:trPr>
          <w:trHeight w:val="127"/>
        </w:trPr>
        <w:tc>
          <w:tcPr>
            <w:tcW w:w="1170" w:type="dxa"/>
            <w:tcBorders>
              <w:top w:val="nil"/>
              <w:left w:val="nil"/>
              <w:bottom w:val="nil"/>
              <w:right w:val="nil"/>
            </w:tcBorders>
            <w:shd w:val="clear" w:color="auto" w:fill="auto"/>
            <w:vAlign w:val="center"/>
            <w:hideMark/>
          </w:tcPr>
          <w:p w:rsidR="00397539" w:rsidRPr="005F0EDF" w:rsidRDefault="00397539" w:rsidP="00356702">
            <w:pPr>
              <w:jc w:val="center"/>
              <w:rPr>
                <w:color w:val="000000" w:themeColor="text1"/>
                <w:sz w:val="20"/>
                <w:szCs w:val="20"/>
              </w:rPr>
            </w:pPr>
            <w:r w:rsidRPr="005F0EDF">
              <w:rPr>
                <w:color w:val="000000" w:themeColor="text1"/>
                <w:sz w:val="20"/>
                <w:szCs w:val="20"/>
              </w:rPr>
              <w:t>er</w:t>
            </w:r>
          </w:p>
        </w:tc>
        <w:tc>
          <w:tcPr>
            <w:tcW w:w="1326" w:type="dxa"/>
            <w:gridSpan w:val="3"/>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0,105</w:t>
            </w:r>
          </w:p>
        </w:tc>
        <w:tc>
          <w:tcPr>
            <w:tcW w:w="1338" w:type="dxa"/>
            <w:gridSpan w:val="2"/>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0,053</w:t>
            </w:r>
          </w:p>
        </w:tc>
        <w:tc>
          <w:tcPr>
            <w:tcW w:w="1160"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1,992</w:t>
            </w:r>
          </w:p>
        </w:tc>
        <w:tc>
          <w:tcPr>
            <w:tcW w:w="1066"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0,048</w:t>
            </w:r>
          </w:p>
        </w:tc>
      </w:tr>
      <w:tr w:rsidR="00397539" w:rsidRPr="005F0EDF" w:rsidTr="005F0EDF">
        <w:trPr>
          <w:trHeight w:val="127"/>
        </w:trPr>
        <w:tc>
          <w:tcPr>
            <w:tcW w:w="1170" w:type="dxa"/>
            <w:tcBorders>
              <w:top w:val="nil"/>
              <w:left w:val="nil"/>
              <w:bottom w:val="nil"/>
              <w:right w:val="nil"/>
            </w:tcBorders>
            <w:shd w:val="clear" w:color="auto" w:fill="auto"/>
            <w:vAlign w:val="center"/>
          </w:tcPr>
          <w:p w:rsidR="00397539" w:rsidRPr="005F0EDF" w:rsidRDefault="00397539" w:rsidP="00356702">
            <w:pPr>
              <w:jc w:val="center"/>
              <w:rPr>
                <w:color w:val="000000" w:themeColor="text1"/>
                <w:sz w:val="20"/>
                <w:szCs w:val="20"/>
              </w:rPr>
            </w:pPr>
            <w:r w:rsidRPr="005F0EDF">
              <w:rPr>
                <w:color w:val="000000" w:themeColor="text1"/>
                <w:sz w:val="20"/>
                <w:szCs w:val="20"/>
              </w:rPr>
              <w:t>er (-1)</w:t>
            </w:r>
          </w:p>
        </w:tc>
        <w:tc>
          <w:tcPr>
            <w:tcW w:w="1326" w:type="dxa"/>
            <w:gridSpan w:val="3"/>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-0,118</w:t>
            </w:r>
          </w:p>
        </w:tc>
        <w:tc>
          <w:tcPr>
            <w:tcW w:w="1338" w:type="dxa"/>
            <w:gridSpan w:val="2"/>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0,083</w:t>
            </w:r>
          </w:p>
        </w:tc>
        <w:tc>
          <w:tcPr>
            <w:tcW w:w="1160" w:type="dxa"/>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-1,425</w:t>
            </w:r>
          </w:p>
        </w:tc>
        <w:tc>
          <w:tcPr>
            <w:tcW w:w="1066" w:type="dxa"/>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0,156</w:t>
            </w:r>
          </w:p>
        </w:tc>
      </w:tr>
      <w:tr w:rsidR="00397539" w:rsidRPr="005F0EDF" w:rsidTr="005F0EDF">
        <w:trPr>
          <w:trHeight w:val="133"/>
        </w:trPr>
        <w:tc>
          <w:tcPr>
            <w:tcW w:w="1170" w:type="dxa"/>
            <w:tcBorders>
              <w:top w:val="nil"/>
              <w:left w:val="nil"/>
              <w:bottom w:val="double" w:sz="6" w:space="0" w:color="auto"/>
              <w:right w:val="nil"/>
            </w:tcBorders>
            <w:shd w:val="clear" w:color="auto" w:fill="auto"/>
            <w:vAlign w:val="center"/>
            <w:hideMark/>
          </w:tcPr>
          <w:p w:rsidR="00397539" w:rsidRPr="005F0EDF" w:rsidRDefault="00397539" w:rsidP="00356702">
            <w:pPr>
              <w:jc w:val="center"/>
              <w:rPr>
                <w:color w:val="000000" w:themeColor="text1"/>
                <w:sz w:val="20"/>
                <w:szCs w:val="20"/>
              </w:rPr>
            </w:pPr>
            <w:r w:rsidRPr="005F0EDF">
              <w:rPr>
                <w:color w:val="000000" w:themeColor="text1"/>
                <w:sz w:val="20"/>
                <w:szCs w:val="20"/>
              </w:rPr>
              <w:t>er (-2)</w:t>
            </w:r>
          </w:p>
        </w:tc>
        <w:tc>
          <w:tcPr>
            <w:tcW w:w="1326" w:type="dxa"/>
            <w:gridSpan w:val="3"/>
            <w:tcBorders>
              <w:top w:val="nil"/>
              <w:left w:val="nil"/>
              <w:bottom w:val="double" w:sz="6" w:space="0" w:color="auto"/>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-0,024</w:t>
            </w:r>
          </w:p>
        </w:tc>
        <w:tc>
          <w:tcPr>
            <w:tcW w:w="1338" w:type="dxa"/>
            <w:gridSpan w:val="2"/>
            <w:tcBorders>
              <w:top w:val="nil"/>
              <w:left w:val="nil"/>
              <w:bottom w:val="double" w:sz="6" w:space="0" w:color="auto"/>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0,040</w:t>
            </w:r>
          </w:p>
        </w:tc>
        <w:tc>
          <w:tcPr>
            <w:tcW w:w="1160" w:type="dxa"/>
            <w:tcBorders>
              <w:top w:val="nil"/>
              <w:left w:val="nil"/>
              <w:bottom w:val="double" w:sz="6" w:space="0" w:color="auto"/>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-0,605</w:t>
            </w:r>
          </w:p>
        </w:tc>
        <w:tc>
          <w:tcPr>
            <w:tcW w:w="1066" w:type="dxa"/>
            <w:tcBorders>
              <w:top w:val="nil"/>
              <w:left w:val="nil"/>
              <w:bottom w:val="double" w:sz="6" w:space="0" w:color="auto"/>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0,546</w:t>
            </w:r>
          </w:p>
        </w:tc>
      </w:tr>
      <w:tr w:rsidR="006F0DDD" w:rsidRPr="005F0EDF" w:rsidTr="005F0EDF">
        <w:trPr>
          <w:trHeight w:val="127"/>
        </w:trPr>
        <w:tc>
          <w:tcPr>
            <w:tcW w:w="6060" w:type="dxa"/>
            <w:gridSpan w:val="8"/>
            <w:tcBorders>
              <w:top w:val="nil"/>
              <w:left w:val="nil"/>
              <w:bottom w:val="double" w:sz="6" w:space="0" w:color="auto"/>
              <w:right w:val="nil"/>
            </w:tcBorders>
            <w:shd w:val="clear" w:color="auto" w:fill="auto"/>
            <w:vAlign w:val="center"/>
            <w:hideMark/>
          </w:tcPr>
          <w:p w:rsidR="006F0DDD" w:rsidRPr="005F0EDF" w:rsidRDefault="006F0DDD" w:rsidP="00356702">
            <w:pPr>
              <w:jc w:val="center"/>
              <w:rPr>
                <w:b/>
                <w:bCs/>
                <w:color w:val="000000" w:themeColor="text1"/>
                <w:sz w:val="20"/>
                <w:szCs w:val="20"/>
              </w:rPr>
            </w:pPr>
            <w:r w:rsidRPr="005F0EDF">
              <w:rPr>
                <w:b/>
                <w:color w:val="000000" w:themeColor="text1"/>
                <w:sz w:val="20"/>
                <w:szCs w:val="20"/>
              </w:rPr>
              <w:t>Threshold Variables (nonlinear part) G = 1</w:t>
            </w:r>
          </w:p>
        </w:tc>
      </w:tr>
      <w:tr w:rsidR="00397539" w:rsidRPr="005F0EDF" w:rsidTr="005F0EDF">
        <w:trPr>
          <w:trHeight w:val="133"/>
        </w:trPr>
        <w:tc>
          <w:tcPr>
            <w:tcW w:w="1170" w:type="dxa"/>
            <w:tcBorders>
              <w:top w:val="nil"/>
              <w:left w:val="nil"/>
              <w:bottom w:val="nil"/>
              <w:right w:val="nil"/>
            </w:tcBorders>
            <w:shd w:val="clear" w:color="auto" w:fill="auto"/>
            <w:vAlign w:val="center"/>
            <w:hideMark/>
          </w:tcPr>
          <w:p w:rsidR="00397539" w:rsidRPr="005F0EDF" w:rsidRDefault="00397539" w:rsidP="00356702">
            <w:pPr>
              <w:jc w:val="center"/>
              <w:rPr>
                <w:color w:val="000000" w:themeColor="text1"/>
                <w:sz w:val="20"/>
                <w:szCs w:val="20"/>
              </w:rPr>
            </w:pPr>
            <w:r w:rsidRPr="005F0EDF">
              <w:rPr>
                <w:color w:val="000000" w:themeColor="text1"/>
                <w:sz w:val="20"/>
                <w:szCs w:val="20"/>
              </w:rPr>
              <w:t>c</w:t>
            </w:r>
          </w:p>
        </w:tc>
        <w:tc>
          <w:tcPr>
            <w:tcW w:w="1326" w:type="dxa"/>
            <w:gridSpan w:val="3"/>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0,017</w:t>
            </w:r>
          </w:p>
        </w:tc>
        <w:tc>
          <w:tcPr>
            <w:tcW w:w="1338" w:type="dxa"/>
            <w:gridSpan w:val="2"/>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0,081</w:t>
            </w:r>
          </w:p>
        </w:tc>
        <w:tc>
          <w:tcPr>
            <w:tcW w:w="1160"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0,212</w:t>
            </w:r>
          </w:p>
        </w:tc>
        <w:tc>
          <w:tcPr>
            <w:tcW w:w="1066"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0,832</w:t>
            </w:r>
          </w:p>
        </w:tc>
      </w:tr>
      <w:tr w:rsidR="00397539" w:rsidRPr="005F0EDF" w:rsidTr="005F0EDF">
        <w:trPr>
          <w:trHeight w:val="127"/>
        </w:trPr>
        <w:tc>
          <w:tcPr>
            <w:tcW w:w="1170" w:type="dxa"/>
            <w:tcBorders>
              <w:top w:val="nil"/>
              <w:left w:val="nil"/>
              <w:bottom w:val="nil"/>
              <w:right w:val="nil"/>
            </w:tcBorders>
            <w:shd w:val="clear" w:color="auto" w:fill="auto"/>
            <w:vAlign w:val="center"/>
            <w:hideMark/>
          </w:tcPr>
          <w:p w:rsidR="00397539" w:rsidRPr="005F0EDF" w:rsidRDefault="00397539" w:rsidP="00356702">
            <w:pPr>
              <w:jc w:val="center"/>
              <w:rPr>
                <w:color w:val="000000" w:themeColor="text1"/>
                <w:sz w:val="20"/>
                <w:szCs w:val="20"/>
              </w:rPr>
            </w:pPr>
            <w:r w:rsidRPr="005F0EDF">
              <w:rPr>
                <w:color w:val="000000" w:themeColor="text1"/>
                <w:sz w:val="20"/>
                <w:szCs w:val="20"/>
              </w:rPr>
              <w:t>er</w:t>
            </w:r>
          </w:p>
        </w:tc>
        <w:tc>
          <w:tcPr>
            <w:tcW w:w="1326" w:type="dxa"/>
            <w:gridSpan w:val="3"/>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-0,143</w:t>
            </w:r>
          </w:p>
        </w:tc>
        <w:tc>
          <w:tcPr>
            <w:tcW w:w="1338" w:type="dxa"/>
            <w:gridSpan w:val="2"/>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0,084</w:t>
            </w:r>
          </w:p>
        </w:tc>
        <w:tc>
          <w:tcPr>
            <w:tcW w:w="1160"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-1,697</w:t>
            </w:r>
          </w:p>
        </w:tc>
        <w:tc>
          <w:tcPr>
            <w:tcW w:w="1066"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0,091</w:t>
            </w:r>
          </w:p>
        </w:tc>
      </w:tr>
      <w:tr w:rsidR="00397539" w:rsidRPr="005F0EDF" w:rsidTr="005F0EDF">
        <w:trPr>
          <w:trHeight w:val="127"/>
        </w:trPr>
        <w:tc>
          <w:tcPr>
            <w:tcW w:w="1170" w:type="dxa"/>
            <w:tcBorders>
              <w:top w:val="nil"/>
              <w:left w:val="nil"/>
              <w:bottom w:val="nil"/>
              <w:right w:val="nil"/>
            </w:tcBorders>
            <w:shd w:val="clear" w:color="auto" w:fill="auto"/>
            <w:vAlign w:val="center"/>
          </w:tcPr>
          <w:p w:rsidR="00397539" w:rsidRPr="005F0EDF" w:rsidRDefault="00397539" w:rsidP="00356702">
            <w:pPr>
              <w:jc w:val="center"/>
              <w:rPr>
                <w:color w:val="000000" w:themeColor="text1"/>
                <w:sz w:val="20"/>
                <w:szCs w:val="20"/>
              </w:rPr>
            </w:pPr>
            <w:r w:rsidRPr="005F0EDF">
              <w:rPr>
                <w:color w:val="000000" w:themeColor="text1"/>
                <w:sz w:val="20"/>
                <w:szCs w:val="20"/>
              </w:rPr>
              <w:t>er (-1)</w:t>
            </w:r>
          </w:p>
        </w:tc>
        <w:tc>
          <w:tcPr>
            <w:tcW w:w="1326" w:type="dxa"/>
            <w:gridSpan w:val="3"/>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0,304</w:t>
            </w:r>
          </w:p>
        </w:tc>
        <w:tc>
          <w:tcPr>
            <w:tcW w:w="1338" w:type="dxa"/>
            <w:gridSpan w:val="2"/>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0,093</w:t>
            </w:r>
          </w:p>
        </w:tc>
        <w:tc>
          <w:tcPr>
            <w:tcW w:w="1160" w:type="dxa"/>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3,265</w:t>
            </w:r>
          </w:p>
        </w:tc>
        <w:tc>
          <w:tcPr>
            <w:tcW w:w="1066" w:type="dxa"/>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0,001</w:t>
            </w:r>
          </w:p>
        </w:tc>
      </w:tr>
      <w:tr w:rsidR="00397539" w:rsidRPr="005F0EDF" w:rsidTr="005F0EDF">
        <w:trPr>
          <w:trHeight w:val="133"/>
        </w:trPr>
        <w:tc>
          <w:tcPr>
            <w:tcW w:w="1170" w:type="dxa"/>
            <w:tcBorders>
              <w:top w:val="nil"/>
              <w:left w:val="nil"/>
              <w:bottom w:val="double" w:sz="6" w:space="0" w:color="auto"/>
              <w:right w:val="nil"/>
            </w:tcBorders>
            <w:shd w:val="clear" w:color="auto" w:fill="auto"/>
            <w:vAlign w:val="center"/>
            <w:hideMark/>
          </w:tcPr>
          <w:p w:rsidR="00397539" w:rsidRPr="005F0EDF" w:rsidRDefault="00397539" w:rsidP="00356702">
            <w:pPr>
              <w:jc w:val="center"/>
              <w:rPr>
                <w:color w:val="000000" w:themeColor="text1"/>
                <w:sz w:val="20"/>
                <w:szCs w:val="20"/>
              </w:rPr>
            </w:pPr>
            <w:r w:rsidRPr="005F0EDF">
              <w:rPr>
                <w:color w:val="000000" w:themeColor="text1"/>
                <w:sz w:val="20"/>
                <w:szCs w:val="20"/>
              </w:rPr>
              <w:t>er (-2)</w:t>
            </w:r>
          </w:p>
        </w:tc>
        <w:tc>
          <w:tcPr>
            <w:tcW w:w="1326" w:type="dxa"/>
            <w:gridSpan w:val="3"/>
            <w:tcBorders>
              <w:top w:val="nil"/>
              <w:left w:val="nil"/>
              <w:bottom w:val="double" w:sz="6" w:space="0" w:color="auto"/>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-0,082</w:t>
            </w:r>
          </w:p>
        </w:tc>
        <w:tc>
          <w:tcPr>
            <w:tcW w:w="1338" w:type="dxa"/>
            <w:gridSpan w:val="2"/>
            <w:tcBorders>
              <w:top w:val="nil"/>
              <w:left w:val="nil"/>
              <w:bottom w:val="double" w:sz="6" w:space="0" w:color="auto"/>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0,081</w:t>
            </w:r>
          </w:p>
        </w:tc>
        <w:tc>
          <w:tcPr>
            <w:tcW w:w="1160" w:type="dxa"/>
            <w:tcBorders>
              <w:top w:val="nil"/>
              <w:left w:val="nil"/>
              <w:bottom w:val="double" w:sz="6" w:space="0" w:color="auto"/>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-1,012</w:t>
            </w:r>
          </w:p>
        </w:tc>
        <w:tc>
          <w:tcPr>
            <w:tcW w:w="1066" w:type="dxa"/>
            <w:tcBorders>
              <w:top w:val="nil"/>
              <w:left w:val="nil"/>
              <w:bottom w:val="double" w:sz="6" w:space="0" w:color="auto"/>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0,313</w:t>
            </w:r>
          </w:p>
        </w:tc>
      </w:tr>
      <w:tr w:rsidR="006F0DDD" w:rsidRPr="005F0EDF" w:rsidTr="005F0EDF">
        <w:trPr>
          <w:trHeight w:val="127"/>
        </w:trPr>
        <w:tc>
          <w:tcPr>
            <w:tcW w:w="6060" w:type="dxa"/>
            <w:gridSpan w:val="8"/>
            <w:tcBorders>
              <w:top w:val="nil"/>
              <w:left w:val="nil"/>
              <w:bottom w:val="double" w:sz="6" w:space="0" w:color="auto"/>
              <w:right w:val="nil"/>
            </w:tcBorders>
            <w:shd w:val="clear" w:color="auto" w:fill="auto"/>
            <w:vAlign w:val="center"/>
            <w:hideMark/>
          </w:tcPr>
          <w:p w:rsidR="006F0DDD" w:rsidRPr="005F0EDF" w:rsidRDefault="006F0DDD" w:rsidP="00356702">
            <w:pPr>
              <w:jc w:val="center"/>
              <w:rPr>
                <w:b/>
                <w:bCs/>
                <w:color w:val="000000" w:themeColor="text1"/>
                <w:sz w:val="20"/>
                <w:szCs w:val="20"/>
              </w:rPr>
            </w:pPr>
            <w:r w:rsidRPr="005F0EDF">
              <w:rPr>
                <w:b/>
                <w:color w:val="000000" w:themeColor="text1"/>
                <w:sz w:val="20"/>
                <w:szCs w:val="20"/>
              </w:rPr>
              <w:t>Non-Threshold Variables</w:t>
            </w:r>
          </w:p>
        </w:tc>
      </w:tr>
      <w:tr w:rsidR="00397539" w:rsidRPr="005F0EDF" w:rsidTr="005F0EDF">
        <w:trPr>
          <w:trHeight w:val="133"/>
        </w:trPr>
        <w:tc>
          <w:tcPr>
            <w:tcW w:w="1170" w:type="dxa"/>
            <w:tcBorders>
              <w:top w:val="nil"/>
              <w:left w:val="nil"/>
              <w:bottom w:val="nil"/>
              <w:right w:val="nil"/>
            </w:tcBorders>
            <w:shd w:val="clear" w:color="auto" w:fill="auto"/>
            <w:vAlign w:val="center"/>
            <w:hideMark/>
          </w:tcPr>
          <w:p w:rsidR="00397539" w:rsidRPr="005F0EDF" w:rsidRDefault="00397539" w:rsidP="00356702">
            <w:pPr>
              <w:jc w:val="center"/>
              <w:rPr>
                <w:color w:val="000000" w:themeColor="text1"/>
                <w:sz w:val="20"/>
                <w:szCs w:val="20"/>
              </w:rPr>
            </w:pPr>
            <w:r w:rsidRPr="005F0EDF">
              <w:rPr>
                <w:color w:val="000000" w:themeColor="text1"/>
                <w:sz w:val="20"/>
                <w:szCs w:val="20"/>
              </w:rPr>
              <w:t>inf_sa (-1)</w:t>
            </w:r>
          </w:p>
        </w:tc>
        <w:tc>
          <w:tcPr>
            <w:tcW w:w="1326" w:type="dxa"/>
            <w:gridSpan w:val="3"/>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0,619</w:t>
            </w:r>
          </w:p>
        </w:tc>
        <w:tc>
          <w:tcPr>
            <w:tcW w:w="1338" w:type="dxa"/>
            <w:gridSpan w:val="2"/>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0,083</w:t>
            </w:r>
          </w:p>
        </w:tc>
        <w:tc>
          <w:tcPr>
            <w:tcW w:w="1160"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7,435</w:t>
            </w:r>
          </w:p>
        </w:tc>
        <w:tc>
          <w:tcPr>
            <w:tcW w:w="1066"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0,000</w:t>
            </w:r>
          </w:p>
        </w:tc>
      </w:tr>
      <w:tr w:rsidR="00397539" w:rsidRPr="005F0EDF" w:rsidTr="005F0EDF">
        <w:trPr>
          <w:trHeight w:val="133"/>
        </w:trPr>
        <w:tc>
          <w:tcPr>
            <w:tcW w:w="1170" w:type="dxa"/>
            <w:tcBorders>
              <w:top w:val="nil"/>
              <w:left w:val="nil"/>
              <w:bottom w:val="nil"/>
              <w:right w:val="nil"/>
            </w:tcBorders>
            <w:shd w:val="clear" w:color="auto" w:fill="auto"/>
            <w:vAlign w:val="center"/>
            <w:hideMark/>
          </w:tcPr>
          <w:p w:rsidR="00397539" w:rsidRPr="005F0EDF" w:rsidRDefault="00397539" w:rsidP="00356702">
            <w:pPr>
              <w:jc w:val="center"/>
              <w:rPr>
                <w:color w:val="000000" w:themeColor="text1"/>
                <w:sz w:val="20"/>
                <w:szCs w:val="20"/>
              </w:rPr>
            </w:pPr>
            <w:r w:rsidRPr="005F0EDF">
              <w:rPr>
                <w:color w:val="000000" w:themeColor="text1"/>
                <w:sz w:val="20"/>
                <w:szCs w:val="20"/>
              </w:rPr>
              <w:t>inf_sa (-2)</w:t>
            </w:r>
          </w:p>
        </w:tc>
        <w:tc>
          <w:tcPr>
            <w:tcW w:w="1326" w:type="dxa"/>
            <w:gridSpan w:val="3"/>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0,128</w:t>
            </w:r>
          </w:p>
        </w:tc>
        <w:tc>
          <w:tcPr>
            <w:tcW w:w="1338" w:type="dxa"/>
            <w:gridSpan w:val="2"/>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0,092</w:t>
            </w:r>
          </w:p>
        </w:tc>
        <w:tc>
          <w:tcPr>
            <w:tcW w:w="1160"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1,400</w:t>
            </w:r>
          </w:p>
        </w:tc>
        <w:tc>
          <w:tcPr>
            <w:tcW w:w="1066"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0,163</w:t>
            </w:r>
          </w:p>
        </w:tc>
      </w:tr>
      <w:tr w:rsidR="00397539" w:rsidRPr="005F0EDF" w:rsidTr="005F0EDF">
        <w:trPr>
          <w:trHeight w:val="133"/>
        </w:trPr>
        <w:tc>
          <w:tcPr>
            <w:tcW w:w="1170" w:type="dxa"/>
            <w:tcBorders>
              <w:top w:val="nil"/>
              <w:left w:val="nil"/>
              <w:bottom w:val="nil"/>
              <w:right w:val="nil"/>
            </w:tcBorders>
            <w:shd w:val="clear" w:color="auto" w:fill="auto"/>
            <w:vAlign w:val="center"/>
            <w:hideMark/>
          </w:tcPr>
          <w:p w:rsidR="00397539" w:rsidRPr="005F0EDF" w:rsidRDefault="00397539" w:rsidP="00356702">
            <w:pPr>
              <w:jc w:val="center"/>
              <w:rPr>
                <w:color w:val="000000" w:themeColor="text1"/>
                <w:sz w:val="20"/>
                <w:szCs w:val="20"/>
              </w:rPr>
            </w:pPr>
            <w:r w:rsidRPr="005F0EDF">
              <w:rPr>
                <w:color w:val="000000" w:themeColor="text1"/>
                <w:sz w:val="20"/>
                <w:szCs w:val="20"/>
              </w:rPr>
              <w:t>iip_sa</w:t>
            </w:r>
          </w:p>
        </w:tc>
        <w:tc>
          <w:tcPr>
            <w:tcW w:w="1326" w:type="dxa"/>
            <w:gridSpan w:val="3"/>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-0,006</w:t>
            </w:r>
          </w:p>
        </w:tc>
        <w:tc>
          <w:tcPr>
            <w:tcW w:w="1338" w:type="dxa"/>
            <w:gridSpan w:val="2"/>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0,009</w:t>
            </w:r>
          </w:p>
        </w:tc>
        <w:tc>
          <w:tcPr>
            <w:tcW w:w="1160"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-0,715</w:t>
            </w:r>
          </w:p>
        </w:tc>
        <w:tc>
          <w:tcPr>
            <w:tcW w:w="1066"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0,475</w:t>
            </w:r>
          </w:p>
        </w:tc>
      </w:tr>
      <w:tr w:rsidR="00397539" w:rsidRPr="005F0EDF" w:rsidTr="005F0EDF">
        <w:trPr>
          <w:trHeight w:val="133"/>
        </w:trPr>
        <w:tc>
          <w:tcPr>
            <w:tcW w:w="1170" w:type="dxa"/>
            <w:tcBorders>
              <w:top w:val="nil"/>
              <w:left w:val="nil"/>
              <w:bottom w:val="nil"/>
              <w:right w:val="nil"/>
            </w:tcBorders>
            <w:shd w:val="clear" w:color="auto" w:fill="auto"/>
            <w:vAlign w:val="center"/>
            <w:hideMark/>
          </w:tcPr>
          <w:p w:rsidR="00397539" w:rsidRPr="005F0EDF" w:rsidRDefault="00397539" w:rsidP="00356702">
            <w:pPr>
              <w:jc w:val="center"/>
              <w:rPr>
                <w:color w:val="000000" w:themeColor="text1"/>
                <w:sz w:val="20"/>
                <w:szCs w:val="20"/>
              </w:rPr>
            </w:pPr>
            <w:r w:rsidRPr="005F0EDF">
              <w:rPr>
                <w:color w:val="000000" w:themeColor="text1"/>
                <w:sz w:val="20"/>
                <w:szCs w:val="20"/>
              </w:rPr>
              <w:t>iip_sa (-1)</w:t>
            </w:r>
          </w:p>
        </w:tc>
        <w:tc>
          <w:tcPr>
            <w:tcW w:w="1326" w:type="dxa"/>
            <w:gridSpan w:val="3"/>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0,017</w:t>
            </w:r>
          </w:p>
        </w:tc>
        <w:tc>
          <w:tcPr>
            <w:tcW w:w="1338" w:type="dxa"/>
            <w:gridSpan w:val="2"/>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0,008</w:t>
            </w:r>
          </w:p>
        </w:tc>
        <w:tc>
          <w:tcPr>
            <w:tcW w:w="1160"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2,015</w:t>
            </w:r>
          </w:p>
        </w:tc>
        <w:tc>
          <w:tcPr>
            <w:tcW w:w="1066"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0,045</w:t>
            </w:r>
          </w:p>
        </w:tc>
      </w:tr>
      <w:tr w:rsidR="00397539" w:rsidRPr="005F0EDF" w:rsidTr="005F0EDF">
        <w:trPr>
          <w:trHeight w:val="133"/>
        </w:trPr>
        <w:tc>
          <w:tcPr>
            <w:tcW w:w="1170" w:type="dxa"/>
            <w:tcBorders>
              <w:top w:val="nil"/>
              <w:left w:val="nil"/>
              <w:bottom w:val="nil"/>
              <w:right w:val="nil"/>
            </w:tcBorders>
            <w:shd w:val="clear" w:color="auto" w:fill="auto"/>
            <w:hideMark/>
          </w:tcPr>
          <w:p w:rsidR="00397539" w:rsidRPr="005F0EDF" w:rsidRDefault="00397539" w:rsidP="00356702">
            <w:pPr>
              <w:jc w:val="center"/>
              <w:rPr>
                <w:color w:val="000000" w:themeColor="text1"/>
                <w:sz w:val="20"/>
                <w:szCs w:val="20"/>
              </w:rPr>
            </w:pPr>
            <w:r w:rsidRPr="005F0EDF">
              <w:rPr>
                <w:color w:val="000000" w:themeColor="text1"/>
                <w:sz w:val="20"/>
                <w:szCs w:val="20"/>
              </w:rPr>
              <w:t>iip_sa (-2)</w:t>
            </w:r>
          </w:p>
        </w:tc>
        <w:tc>
          <w:tcPr>
            <w:tcW w:w="1326" w:type="dxa"/>
            <w:gridSpan w:val="3"/>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0,003</w:t>
            </w:r>
          </w:p>
        </w:tc>
        <w:tc>
          <w:tcPr>
            <w:tcW w:w="1338" w:type="dxa"/>
            <w:gridSpan w:val="2"/>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0,010</w:t>
            </w:r>
          </w:p>
        </w:tc>
        <w:tc>
          <w:tcPr>
            <w:tcW w:w="1160"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0,328</w:t>
            </w:r>
          </w:p>
        </w:tc>
        <w:tc>
          <w:tcPr>
            <w:tcW w:w="1066"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0,743</w:t>
            </w:r>
          </w:p>
        </w:tc>
      </w:tr>
      <w:tr w:rsidR="00397539" w:rsidRPr="005F0EDF" w:rsidTr="005F0EDF">
        <w:trPr>
          <w:trHeight w:val="133"/>
        </w:trPr>
        <w:tc>
          <w:tcPr>
            <w:tcW w:w="1170" w:type="dxa"/>
            <w:tcBorders>
              <w:top w:val="nil"/>
              <w:left w:val="nil"/>
              <w:bottom w:val="nil"/>
              <w:right w:val="nil"/>
            </w:tcBorders>
            <w:shd w:val="clear" w:color="auto" w:fill="auto"/>
            <w:hideMark/>
          </w:tcPr>
          <w:p w:rsidR="00397539" w:rsidRPr="005F0EDF" w:rsidRDefault="00397539" w:rsidP="00356702">
            <w:pPr>
              <w:jc w:val="center"/>
              <w:rPr>
                <w:color w:val="000000" w:themeColor="text1"/>
                <w:sz w:val="20"/>
                <w:szCs w:val="20"/>
              </w:rPr>
            </w:pPr>
            <w:r w:rsidRPr="005F0EDF">
              <w:rPr>
                <w:color w:val="000000" w:themeColor="text1"/>
                <w:sz w:val="20"/>
                <w:szCs w:val="20"/>
              </w:rPr>
              <w:t>iip_sa (-3)</w:t>
            </w:r>
          </w:p>
        </w:tc>
        <w:tc>
          <w:tcPr>
            <w:tcW w:w="1326" w:type="dxa"/>
            <w:gridSpan w:val="3"/>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-0,023</w:t>
            </w:r>
          </w:p>
        </w:tc>
        <w:tc>
          <w:tcPr>
            <w:tcW w:w="1338" w:type="dxa"/>
            <w:gridSpan w:val="2"/>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0,014</w:t>
            </w:r>
          </w:p>
        </w:tc>
        <w:tc>
          <w:tcPr>
            <w:tcW w:w="1160"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-1,574</w:t>
            </w:r>
          </w:p>
        </w:tc>
        <w:tc>
          <w:tcPr>
            <w:tcW w:w="1066"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0,117</w:t>
            </w:r>
          </w:p>
        </w:tc>
      </w:tr>
      <w:tr w:rsidR="00397539" w:rsidRPr="005F0EDF" w:rsidTr="005F0EDF">
        <w:trPr>
          <w:trHeight w:val="133"/>
        </w:trPr>
        <w:tc>
          <w:tcPr>
            <w:tcW w:w="1170" w:type="dxa"/>
            <w:tcBorders>
              <w:top w:val="nil"/>
              <w:left w:val="nil"/>
              <w:bottom w:val="nil"/>
              <w:right w:val="nil"/>
            </w:tcBorders>
            <w:shd w:val="clear" w:color="auto" w:fill="auto"/>
            <w:hideMark/>
          </w:tcPr>
          <w:p w:rsidR="00397539" w:rsidRPr="005F0EDF" w:rsidRDefault="00397539" w:rsidP="00356702">
            <w:pPr>
              <w:jc w:val="center"/>
              <w:rPr>
                <w:color w:val="000000" w:themeColor="text1"/>
                <w:sz w:val="20"/>
                <w:szCs w:val="20"/>
              </w:rPr>
            </w:pPr>
            <w:r w:rsidRPr="005F0EDF">
              <w:rPr>
                <w:color w:val="000000" w:themeColor="text1"/>
                <w:sz w:val="20"/>
                <w:szCs w:val="20"/>
              </w:rPr>
              <w:t>iip_sa (-4)</w:t>
            </w:r>
          </w:p>
        </w:tc>
        <w:tc>
          <w:tcPr>
            <w:tcW w:w="1326" w:type="dxa"/>
            <w:gridSpan w:val="3"/>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0,005</w:t>
            </w:r>
          </w:p>
        </w:tc>
        <w:tc>
          <w:tcPr>
            <w:tcW w:w="1338" w:type="dxa"/>
            <w:gridSpan w:val="2"/>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0,009</w:t>
            </w:r>
          </w:p>
        </w:tc>
        <w:tc>
          <w:tcPr>
            <w:tcW w:w="1160"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0,560</w:t>
            </w:r>
          </w:p>
        </w:tc>
        <w:tc>
          <w:tcPr>
            <w:tcW w:w="1066"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0,576</w:t>
            </w:r>
          </w:p>
        </w:tc>
      </w:tr>
      <w:tr w:rsidR="00397539" w:rsidRPr="005F0EDF" w:rsidTr="005F0EDF">
        <w:trPr>
          <w:trHeight w:val="133"/>
        </w:trPr>
        <w:tc>
          <w:tcPr>
            <w:tcW w:w="1170" w:type="dxa"/>
            <w:tcBorders>
              <w:top w:val="nil"/>
              <w:left w:val="nil"/>
              <w:bottom w:val="nil"/>
              <w:right w:val="nil"/>
            </w:tcBorders>
            <w:shd w:val="clear" w:color="auto" w:fill="auto"/>
            <w:hideMark/>
          </w:tcPr>
          <w:p w:rsidR="00397539" w:rsidRPr="005F0EDF" w:rsidRDefault="00397539" w:rsidP="00356702">
            <w:pPr>
              <w:jc w:val="center"/>
              <w:rPr>
                <w:color w:val="000000" w:themeColor="text1"/>
                <w:sz w:val="20"/>
                <w:szCs w:val="20"/>
              </w:rPr>
            </w:pPr>
            <w:r w:rsidRPr="005F0EDF">
              <w:rPr>
                <w:color w:val="000000" w:themeColor="text1"/>
                <w:sz w:val="20"/>
                <w:szCs w:val="20"/>
              </w:rPr>
              <w:t>iip_sa (-5)</w:t>
            </w:r>
          </w:p>
        </w:tc>
        <w:tc>
          <w:tcPr>
            <w:tcW w:w="1326" w:type="dxa"/>
            <w:gridSpan w:val="3"/>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-0,006</w:t>
            </w:r>
          </w:p>
        </w:tc>
        <w:tc>
          <w:tcPr>
            <w:tcW w:w="1338" w:type="dxa"/>
            <w:gridSpan w:val="2"/>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0,009</w:t>
            </w:r>
          </w:p>
        </w:tc>
        <w:tc>
          <w:tcPr>
            <w:tcW w:w="1160"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-0,696</w:t>
            </w:r>
          </w:p>
        </w:tc>
        <w:tc>
          <w:tcPr>
            <w:tcW w:w="1066"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0,487</w:t>
            </w:r>
          </w:p>
        </w:tc>
      </w:tr>
      <w:tr w:rsidR="00397539" w:rsidRPr="005F0EDF" w:rsidTr="005F0EDF">
        <w:trPr>
          <w:trHeight w:val="133"/>
        </w:trPr>
        <w:tc>
          <w:tcPr>
            <w:tcW w:w="1170" w:type="dxa"/>
            <w:tcBorders>
              <w:top w:val="nil"/>
              <w:left w:val="nil"/>
              <w:bottom w:val="nil"/>
              <w:right w:val="nil"/>
            </w:tcBorders>
            <w:shd w:val="clear" w:color="auto" w:fill="auto"/>
            <w:hideMark/>
          </w:tcPr>
          <w:p w:rsidR="00397539" w:rsidRPr="005F0EDF" w:rsidRDefault="00397539" w:rsidP="00356702">
            <w:pPr>
              <w:jc w:val="center"/>
              <w:rPr>
                <w:color w:val="000000" w:themeColor="text1"/>
                <w:sz w:val="20"/>
                <w:szCs w:val="20"/>
              </w:rPr>
            </w:pPr>
            <w:r w:rsidRPr="005F0EDF">
              <w:rPr>
                <w:color w:val="000000" w:themeColor="text1"/>
                <w:sz w:val="20"/>
                <w:szCs w:val="20"/>
              </w:rPr>
              <w:lastRenderedPageBreak/>
              <w:t>iip_sa (-6)</w:t>
            </w:r>
          </w:p>
        </w:tc>
        <w:tc>
          <w:tcPr>
            <w:tcW w:w="1326" w:type="dxa"/>
            <w:gridSpan w:val="3"/>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-0,001</w:t>
            </w:r>
          </w:p>
        </w:tc>
        <w:tc>
          <w:tcPr>
            <w:tcW w:w="1338" w:type="dxa"/>
            <w:gridSpan w:val="2"/>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0,011</w:t>
            </w:r>
          </w:p>
        </w:tc>
        <w:tc>
          <w:tcPr>
            <w:tcW w:w="1160"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-0,053</w:t>
            </w:r>
          </w:p>
        </w:tc>
        <w:tc>
          <w:tcPr>
            <w:tcW w:w="1066" w:type="dxa"/>
            <w:tcBorders>
              <w:top w:val="nil"/>
              <w:left w:val="nil"/>
              <w:bottom w:val="nil"/>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0,958</w:t>
            </w:r>
          </w:p>
        </w:tc>
      </w:tr>
      <w:tr w:rsidR="00397539" w:rsidRPr="005F0EDF" w:rsidTr="005F0EDF">
        <w:trPr>
          <w:trHeight w:val="133"/>
        </w:trPr>
        <w:tc>
          <w:tcPr>
            <w:tcW w:w="1170" w:type="dxa"/>
            <w:tcBorders>
              <w:top w:val="nil"/>
              <w:left w:val="nil"/>
              <w:bottom w:val="nil"/>
              <w:right w:val="nil"/>
            </w:tcBorders>
            <w:shd w:val="clear" w:color="auto" w:fill="auto"/>
          </w:tcPr>
          <w:p w:rsidR="00397539" w:rsidRPr="005F0EDF" w:rsidRDefault="00397539" w:rsidP="00356702">
            <w:pPr>
              <w:jc w:val="center"/>
              <w:rPr>
                <w:color w:val="000000" w:themeColor="text1"/>
                <w:sz w:val="20"/>
                <w:szCs w:val="20"/>
              </w:rPr>
            </w:pPr>
            <w:r w:rsidRPr="005F0EDF">
              <w:rPr>
                <w:color w:val="000000" w:themeColor="text1"/>
                <w:sz w:val="20"/>
                <w:szCs w:val="20"/>
              </w:rPr>
              <w:t>iip_sa (-7)</w:t>
            </w:r>
          </w:p>
        </w:tc>
        <w:tc>
          <w:tcPr>
            <w:tcW w:w="1326" w:type="dxa"/>
            <w:gridSpan w:val="3"/>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-0,005</w:t>
            </w:r>
          </w:p>
        </w:tc>
        <w:tc>
          <w:tcPr>
            <w:tcW w:w="1338" w:type="dxa"/>
            <w:gridSpan w:val="2"/>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0,008</w:t>
            </w:r>
          </w:p>
        </w:tc>
        <w:tc>
          <w:tcPr>
            <w:tcW w:w="1160" w:type="dxa"/>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-0,547</w:t>
            </w:r>
          </w:p>
        </w:tc>
        <w:tc>
          <w:tcPr>
            <w:tcW w:w="1066" w:type="dxa"/>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0,585</w:t>
            </w:r>
          </w:p>
        </w:tc>
      </w:tr>
      <w:tr w:rsidR="00397539" w:rsidRPr="005F0EDF" w:rsidTr="005F0EDF">
        <w:trPr>
          <w:trHeight w:val="133"/>
        </w:trPr>
        <w:tc>
          <w:tcPr>
            <w:tcW w:w="1170" w:type="dxa"/>
            <w:tcBorders>
              <w:top w:val="nil"/>
              <w:left w:val="nil"/>
              <w:bottom w:val="nil"/>
              <w:right w:val="nil"/>
            </w:tcBorders>
            <w:shd w:val="clear" w:color="auto" w:fill="auto"/>
          </w:tcPr>
          <w:p w:rsidR="00397539" w:rsidRPr="005F0EDF" w:rsidRDefault="00397539" w:rsidP="00356702">
            <w:pPr>
              <w:jc w:val="center"/>
              <w:rPr>
                <w:color w:val="000000" w:themeColor="text1"/>
                <w:sz w:val="20"/>
                <w:szCs w:val="20"/>
              </w:rPr>
            </w:pPr>
            <w:r w:rsidRPr="005F0EDF">
              <w:rPr>
                <w:color w:val="000000" w:themeColor="text1"/>
                <w:sz w:val="20"/>
                <w:szCs w:val="20"/>
              </w:rPr>
              <w:t>iip_sa (-8)</w:t>
            </w:r>
          </w:p>
        </w:tc>
        <w:tc>
          <w:tcPr>
            <w:tcW w:w="1326" w:type="dxa"/>
            <w:gridSpan w:val="3"/>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-0,024</w:t>
            </w:r>
          </w:p>
        </w:tc>
        <w:tc>
          <w:tcPr>
            <w:tcW w:w="1338" w:type="dxa"/>
            <w:gridSpan w:val="2"/>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0,010</w:t>
            </w:r>
          </w:p>
        </w:tc>
        <w:tc>
          <w:tcPr>
            <w:tcW w:w="1160" w:type="dxa"/>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-2,517</w:t>
            </w:r>
          </w:p>
        </w:tc>
        <w:tc>
          <w:tcPr>
            <w:tcW w:w="1066" w:type="dxa"/>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0,013</w:t>
            </w:r>
          </w:p>
        </w:tc>
      </w:tr>
      <w:tr w:rsidR="00397539" w:rsidRPr="005F0EDF" w:rsidTr="005F0EDF">
        <w:trPr>
          <w:trHeight w:val="133"/>
        </w:trPr>
        <w:tc>
          <w:tcPr>
            <w:tcW w:w="1170" w:type="dxa"/>
            <w:tcBorders>
              <w:top w:val="nil"/>
              <w:left w:val="nil"/>
              <w:bottom w:val="nil"/>
              <w:right w:val="nil"/>
            </w:tcBorders>
            <w:shd w:val="clear" w:color="auto" w:fill="auto"/>
          </w:tcPr>
          <w:p w:rsidR="00397539" w:rsidRPr="005F0EDF" w:rsidRDefault="00397539" w:rsidP="00356702">
            <w:pPr>
              <w:jc w:val="center"/>
              <w:rPr>
                <w:color w:val="000000" w:themeColor="text1"/>
                <w:sz w:val="20"/>
                <w:szCs w:val="20"/>
              </w:rPr>
            </w:pPr>
            <w:r w:rsidRPr="005F0EDF">
              <w:rPr>
                <w:color w:val="000000" w:themeColor="text1"/>
                <w:sz w:val="20"/>
                <w:szCs w:val="20"/>
              </w:rPr>
              <w:t>iip_sa (-9)</w:t>
            </w:r>
          </w:p>
        </w:tc>
        <w:tc>
          <w:tcPr>
            <w:tcW w:w="1326" w:type="dxa"/>
            <w:gridSpan w:val="3"/>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0,015</w:t>
            </w:r>
          </w:p>
        </w:tc>
        <w:tc>
          <w:tcPr>
            <w:tcW w:w="1338" w:type="dxa"/>
            <w:gridSpan w:val="2"/>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0,009</w:t>
            </w:r>
          </w:p>
        </w:tc>
        <w:tc>
          <w:tcPr>
            <w:tcW w:w="1160" w:type="dxa"/>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1,653</w:t>
            </w:r>
          </w:p>
        </w:tc>
        <w:tc>
          <w:tcPr>
            <w:tcW w:w="1066" w:type="dxa"/>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0,100</w:t>
            </w:r>
          </w:p>
        </w:tc>
      </w:tr>
      <w:tr w:rsidR="00397539" w:rsidRPr="005F0EDF" w:rsidTr="005F0EDF">
        <w:trPr>
          <w:trHeight w:val="133"/>
        </w:trPr>
        <w:tc>
          <w:tcPr>
            <w:tcW w:w="1170" w:type="dxa"/>
            <w:tcBorders>
              <w:top w:val="nil"/>
              <w:left w:val="nil"/>
              <w:bottom w:val="nil"/>
              <w:right w:val="nil"/>
            </w:tcBorders>
            <w:shd w:val="clear" w:color="auto" w:fill="auto"/>
            <w:vAlign w:val="center"/>
          </w:tcPr>
          <w:p w:rsidR="00397539" w:rsidRPr="005F0EDF" w:rsidRDefault="00397539" w:rsidP="00356702">
            <w:pPr>
              <w:jc w:val="center"/>
              <w:rPr>
                <w:color w:val="000000" w:themeColor="text1"/>
                <w:sz w:val="20"/>
                <w:szCs w:val="20"/>
              </w:rPr>
            </w:pPr>
            <w:r w:rsidRPr="005F0EDF">
              <w:rPr>
                <w:color w:val="000000" w:themeColor="text1"/>
                <w:sz w:val="20"/>
                <w:szCs w:val="20"/>
              </w:rPr>
              <w:t>gpi</w:t>
            </w:r>
          </w:p>
        </w:tc>
        <w:tc>
          <w:tcPr>
            <w:tcW w:w="1326" w:type="dxa"/>
            <w:gridSpan w:val="3"/>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0,030</w:t>
            </w:r>
          </w:p>
        </w:tc>
        <w:tc>
          <w:tcPr>
            <w:tcW w:w="1338" w:type="dxa"/>
            <w:gridSpan w:val="2"/>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0,006</w:t>
            </w:r>
          </w:p>
        </w:tc>
        <w:tc>
          <w:tcPr>
            <w:tcW w:w="1160" w:type="dxa"/>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4,565</w:t>
            </w:r>
          </w:p>
        </w:tc>
        <w:tc>
          <w:tcPr>
            <w:tcW w:w="1066" w:type="dxa"/>
            <w:tcBorders>
              <w:top w:val="nil"/>
              <w:left w:val="nil"/>
              <w:bottom w:val="nil"/>
              <w:right w:val="nil"/>
            </w:tcBorders>
            <w:shd w:val="clear" w:color="auto" w:fill="auto"/>
            <w:vAlign w:val="bottom"/>
          </w:tcPr>
          <w:p w:rsidR="00397539" w:rsidRPr="005F0EDF" w:rsidRDefault="00397539" w:rsidP="00356702">
            <w:pPr>
              <w:jc w:val="right"/>
              <w:rPr>
                <w:color w:val="000000" w:themeColor="text1"/>
                <w:sz w:val="20"/>
                <w:szCs w:val="20"/>
              </w:rPr>
            </w:pPr>
            <w:r w:rsidRPr="005F0EDF">
              <w:rPr>
                <w:color w:val="000000"/>
                <w:sz w:val="20"/>
                <w:szCs w:val="20"/>
              </w:rPr>
              <w:t>0,000</w:t>
            </w:r>
          </w:p>
        </w:tc>
      </w:tr>
      <w:tr w:rsidR="00397539" w:rsidRPr="005F0EDF" w:rsidTr="005F0EDF">
        <w:trPr>
          <w:trHeight w:val="133"/>
        </w:trPr>
        <w:tc>
          <w:tcPr>
            <w:tcW w:w="1170" w:type="dxa"/>
            <w:tcBorders>
              <w:top w:val="nil"/>
              <w:left w:val="nil"/>
              <w:bottom w:val="double" w:sz="6" w:space="0" w:color="auto"/>
              <w:right w:val="nil"/>
            </w:tcBorders>
            <w:shd w:val="clear" w:color="auto" w:fill="auto"/>
            <w:vAlign w:val="center"/>
            <w:hideMark/>
          </w:tcPr>
          <w:p w:rsidR="00397539" w:rsidRPr="005F0EDF" w:rsidRDefault="00397539" w:rsidP="00356702">
            <w:pPr>
              <w:jc w:val="center"/>
              <w:rPr>
                <w:color w:val="000000" w:themeColor="text1"/>
                <w:sz w:val="20"/>
                <w:szCs w:val="20"/>
              </w:rPr>
            </w:pPr>
            <w:r w:rsidRPr="005F0EDF">
              <w:rPr>
                <w:color w:val="000000" w:themeColor="text1"/>
                <w:sz w:val="20"/>
                <w:szCs w:val="20"/>
              </w:rPr>
              <w:t>gpi (-1)</w:t>
            </w:r>
          </w:p>
        </w:tc>
        <w:tc>
          <w:tcPr>
            <w:tcW w:w="1326" w:type="dxa"/>
            <w:gridSpan w:val="3"/>
            <w:tcBorders>
              <w:top w:val="nil"/>
              <w:left w:val="nil"/>
              <w:bottom w:val="double" w:sz="6" w:space="0" w:color="auto"/>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0,018</w:t>
            </w:r>
          </w:p>
        </w:tc>
        <w:tc>
          <w:tcPr>
            <w:tcW w:w="1338" w:type="dxa"/>
            <w:gridSpan w:val="2"/>
            <w:tcBorders>
              <w:top w:val="nil"/>
              <w:left w:val="nil"/>
              <w:bottom w:val="double" w:sz="6" w:space="0" w:color="auto"/>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0,006</w:t>
            </w:r>
          </w:p>
        </w:tc>
        <w:tc>
          <w:tcPr>
            <w:tcW w:w="1160" w:type="dxa"/>
            <w:tcBorders>
              <w:top w:val="nil"/>
              <w:left w:val="nil"/>
              <w:bottom w:val="double" w:sz="6" w:space="0" w:color="auto"/>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3,190</w:t>
            </w:r>
          </w:p>
        </w:tc>
        <w:tc>
          <w:tcPr>
            <w:tcW w:w="1066" w:type="dxa"/>
            <w:tcBorders>
              <w:top w:val="nil"/>
              <w:left w:val="nil"/>
              <w:bottom w:val="double" w:sz="6" w:space="0" w:color="auto"/>
              <w:right w:val="nil"/>
            </w:tcBorders>
            <w:shd w:val="clear" w:color="auto" w:fill="auto"/>
            <w:vAlign w:val="bottom"/>
            <w:hideMark/>
          </w:tcPr>
          <w:p w:rsidR="00397539" w:rsidRPr="005F0EDF" w:rsidRDefault="00397539" w:rsidP="00356702">
            <w:pPr>
              <w:jc w:val="right"/>
              <w:rPr>
                <w:color w:val="000000" w:themeColor="text1"/>
                <w:sz w:val="20"/>
                <w:szCs w:val="20"/>
              </w:rPr>
            </w:pPr>
            <w:r w:rsidRPr="005F0EDF">
              <w:rPr>
                <w:color w:val="000000"/>
                <w:sz w:val="20"/>
                <w:szCs w:val="20"/>
              </w:rPr>
              <w:t>0,002</w:t>
            </w:r>
          </w:p>
        </w:tc>
      </w:tr>
      <w:tr w:rsidR="006F0DDD" w:rsidRPr="005F0EDF" w:rsidTr="005F0EDF">
        <w:trPr>
          <w:trHeight w:val="127"/>
        </w:trPr>
        <w:tc>
          <w:tcPr>
            <w:tcW w:w="6060" w:type="dxa"/>
            <w:gridSpan w:val="8"/>
            <w:tcBorders>
              <w:top w:val="nil"/>
              <w:left w:val="nil"/>
              <w:bottom w:val="double" w:sz="6" w:space="0" w:color="auto"/>
              <w:right w:val="nil"/>
            </w:tcBorders>
            <w:shd w:val="clear" w:color="auto" w:fill="auto"/>
            <w:vAlign w:val="center"/>
            <w:hideMark/>
          </w:tcPr>
          <w:p w:rsidR="006F0DDD" w:rsidRPr="005F0EDF" w:rsidRDefault="006F0DDD" w:rsidP="00356702">
            <w:pPr>
              <w:jc w:val="center"/>
              <w:rPr>
                <w:b/>
                <w:bCs/>
                <w:color w:val="000000" w:themeColor="text1"/>
                <w:sz w:val="20"/>
                <w:szCs w:val="20"/>
              </w:rPr>
            </w:pPr>
            <w:r w:rsidRPr="005F0EDF">
              <w:rPr>
                <w:b/>
                <w:bCs/>
                <w:color w:val="000000" w:themeColor="text1"/>
                <w:sz w:val="20"/>
                <w:szCs w:val="20"/>
              </w:rPr>
              <w:t>Slopes</w:t>
            </w:r>
          </w:p>
        </w:tc>
      </w:tr>
      <w:tr w:rsidR="006F0DDD" w:rsidRPr="005F0EDF" w:rsidTr="005F0EDF">
        <w:trPr>
          <w:trHeight w:val="139"/>
        </w:trPr>
        <w:tc>
          <w:tcPr>
            <w:tcW w:w="1170" w:type="dxa"/>
            <w:tcBorders>
              <w:top w:val="nil"/>
              <w:left w:val="nil"/>
              <w:bottom w:val="double" w:sz="6" w:space="0" w:color="auto"/>
              <w:right w:val="nil"/>
            </w:tcBorders>
            <w:shd w:val="clear" w:color="auto" w:fill="auto"/>
            <w:vAlign w:val="center"/>
            <w:hideMark/>
          </w:tcPr>
          <w:p w:rsidR="006F0DDD" w:rsidRPr="005F0EDF" w:rsidRDefault="006F0DDD" w:rsidP="00356702">
            <w:pPr>
              <w:jc w:val="center"/>
              <w:rPr>
                <w:color w:val="000000" w:themeColor="text1"/>
                <w:sz w:val="20"/>
                <w:szCs w:val="20"/>
              </w:rPr>
            </w:pPr>
            <w:r w:rsidRPr="005F0EDF">
              <w:rPr>
                <w:color w:val="000000" w:themeColor="text1"/>
                <w:sz w:val="20"/>
                <w:szCs w:val="20"/>
              </w:rPr>
              <w:t xml:space="preserve">Slope </w:t>
            </w:r>
          </w:p>
        </w:tc>
        <w:tc>
          <w:tcPr>
            <w:tcW w:w="1326" w:type="dxa"/>
            <w:gridSpan w:val="3"/>
            <w:tcBorders>
              <w:top w:val="nil"/>
              <w:left w:val="nil"/>
              <w:bottom w:val="double" w:sz="6" w:space="0" w:color="auto"/>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63,338</w:t>
            </w:r>
          </w:p>
        </w:tc>
        <w:tc>
          <w:tcPr>
            <w:tcW w:w="1338" w:type="dxa"/>
            <w:gridSpan w:val="2"/>
            <w:tcBorders>
              <w:top w:val="nil"/>
              <w:left w:val="nil"/>
              <w:bottom w:val="double" w:sz="6" w:space="0" w:color="auto"/>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362,057</w:t>
            </w:r>
          </w:p>
        </w:tc>
        <w:tc>
          <w:tcPr>
            <w:tcW w:w="1160" w:type="dxa"/>
            <w:tcBorders>
              <w:top w:val="nil"/>
              <w:left w:val="nil"/>
              <w:bottom w:val="double" w:sz="6" w:space="0" w:color="auto"/>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0,175</w:t>
            </w:r>
          </w:p>
        </w:tc>
        <w:tc>
          <w:tcPr>
            <w:tcW w:w="1066" w:type="dxa"/>
            <w:tcBorders>
              <w:top w:val="nil"/>
              <w:left w:val="nil"/>
              <w:bottom w:val="double" w:sz="6" w:space="0" w:color="auto"/>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0,861</w:t>
            </w:r>
          </w:p>
        </w:tc>
      </w:tr>
      <w:tr w:rsidR="006F0DDD" w:rsidRPr="005F0EDF" w:rsidTr="005F0EDF">
        <w:trPr>
          <w:trHeight w:val="127"/>
        </w:trPr>
        <w:tc>
          <w:tcPr>
            <w:tcW w:w="6060" w:type="dxa"/>
            <w:gridSpan w:val="8"/>
            <w:tcBorders>
              <w:top w:val="nil"/>
              <w:left w:val="nil"/>
              <w:bottom w:val="double" w:sz="6" w:space="0" w:color="auto"/>
              <w:right w:val="nil"/>
            </w:tcBorders>
            <w:shd w:val="clear" w:color="auto" w:fill="auto"/>
            <w:vAlign w:val="center"/>
            <w:hideMark/>
          </w:tcPr>
          <w:p w:rsidR="006F0DDD" w:rsidRPr="005F0EDF" w:rsidRDefault="006F0DDD" w:rsidP="00356702">
            <w:pPr>
              <w:jc w:val="center"/>
              <w:rPr>
                <w:b/>
                <w:bCs/>
                <w:color w:val="000000" w:themeColor="text1"/>
                <w:sz w:val="20"/>
                <w:szCs w:val="20"/>
              </w:rPr>
            </w:pPr>
            <w:r w:rsidRPr="005F0EDF">
              <w:rPr>
                <w:b/>
                <w:bCs/>
                <w:color w:val="000000" w:themeColor="text1"/>
                <w:sz w:val="20"/>
                <w:szCs w:val="20"/>
              </w:rPr>
              <w:t>Thresholds</w:t>
            </w:r>
          </w:p>
        </w:tc>
      </w:tr>
      <w:tr w:rsidR="006F0DDD" w:rsidRPr="005F0EDF" w:rsidTr="005F0EDF">
        <w:trPr>
          <w:trHeight w:val="139"/>
        </w:trPr>
        <w:tc>
          <w:tcPr>
            <w:tcW w:w="1170" w:type="dxa"/>
            <w:tcBorders>
              <w:top w:val="nil"/>
              <w:left w:val="nil"/>
              <w:bottom w:val="double" w:sz="6" w:space="0" w:color="auto"/>
              <w:right w:val="nil"/>
            </w:tcBorders>
            <w:shd w:val="clear" w:color="auto" w:fill="auto"/>
            <w:vAlign w:val="center"/>
            <w:hideMark/>
          </w:tcPr>
          <w:p w:rsidR="006F0DDD" w:rsidRPr="005F0EDF" w:rsidRDefault="006F0DDD" w:rsidP="00356702">
            <w:pPr>
              <w:jc w:val="center"/>
              <w:rPr>
                <w:color w:val="000000" w:themeColor="text1"/>
                <w:sz w:val="20"/>
                <w:szCs w:val="20"/>
              </w:rPr>
            </w:pPr>
            <w:r w:rsidRPr="005F0EDF">
              <w:rPr>
                <w:color w:val="000000" w:themeColor="text1"/>
                <w:sz w:val="20"/>
                <w:szCs w:val="20"/>
              </w:rPr>
              <w:t>Threshold</w:t>
            </w:r>
          </w:p>
        </w:tc>
        <w:tc>
          <w:tcPr>
            <w:tcW w:w="1326" w:type="dxa"/>
            <w:gridSpan w:val="3"/>
            <w:tcBorders>
              <w:top w:val="nil"/>
              <w:left w:val="nil"/>
              <w:bottom w:val="double" w:sz="6" w:space="0" w:color="auto"/>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0,902</w:t>
            </w:r>
          </w:p>
        </w:tc>
        <w:tc>
          <w:tcPr>
            <w:tcW w:w="1338" w:type="dxa"/>
            <w:gridSpan w:val="2"/>
            <w:tcBorders>
              <w:top w:val="nil"/>
              <w:left w:val="nil"/>
              <w:bottom w:val="double" w:sz="6" w:space="0" w:color="auto"/>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0,071</w:t>
            </w:r>
          </w:p>
        </w:tc>
        <w:tc>
          <w:tcPr>
            <w:tcW w:w="1160" w:type="dxa"/>
            <w:tcBorders>
              <w:top w:val="nil"/>
              <w:left w:val="nil"/>
              <w:bottom w:val="double" w:sz="6" w:space="0" w:color="auto"/>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12,684</w:t>
            </w:r>
          </w:p>
        </w:tc>
        <w:tc>
          <w:tcPr>
            <w:tcW w:w="1066" w:type="dxa"/>
            <w:tcBorders>
              <w:top w:val="nil"/>
              <w:left w:val="nil"/>
              <w:bottom w:val="double" w:sz="6" w:space="0" w:color="auto"/>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0,000</w:t>
            </w:r>
          </w:p>
        </w:tc>
      </w:tr>
      <w:tr w:rsidR="006F0DDD" w:rsidRPr="005F0EDF" w:rsidTr="00356702">
        <w:trPr>
          <w:trHeight w:val="133"/>
        </w:trPr>
        <w:tc>
          <w:tcPr>
            <w:tcW w:w="1962" w:type="dxa"/>
            <w:gridSpan w:val="2"/>
            <w:tcBorders>
              <w:top w:val="nil"/>
              <w:left w:val="nil"/>
              <w:bottom w:val="nil"/>
              <w:right w:val="nil"/>
            </w:tcBorders>
            <w:shd w:val="clear" w:color="auto" w:fill="auto"/>
            <w:vAlign w:val="center"/>
            <w:hideMark/>
          </w:tcPr>
          <w:p w:rsidR="006F0DDD" w:rsidRPr="005F0EDF" w:rsidRDefault="006F0DDD" w:rsidP="00356702">
            <w:pPr>
              <w:rPr>
                <w:color w:val="000000" w:themeColor="text1"/>
                <w:sz w:val="20"/>
                <w:szCs w:val="20"/>
              </w:rPr>
            </w:pPr>
            <w:r w:rsidRPr="005F0EDF">
              <w:rPr>
                <w:color w:val="000000" w:themeColor="text1"/>
                <w:sz w:val="20"/>
                <w:szCs w:val="20"/>
              </w:rPr>
              <w:t>R-squared</w:t>
            </w:r>
          </w:p>
        </w:tc>
        <w:tc>
          <w:tcPr>
            <w:tcW w:w="892" w:type="dxa"/>
            <w:gridSpan w:val="3"/>
            <w:tcBorders>
              <w:top w:val="nil"/>
              <w:left w:val="nil"/>
              <w:bottom w:val="nil"/>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0,724</w:t>
            </w:r>
          </w:p>
        </w:tc>
        <w:tc>
          <w:tcPr>
            <w:tcW w:w="2140" w:type="dxa"/>
            <w:gridSpan w:val="2"/>
            <w:tcBorders>
              <w:top w:val="nil"/>
              <w:left w:val="nil"/>
              <w:bottom w:val="nil"/>
              <w:right w:val="nil"/>
            </w:tcBorders>
            <w:shd w:val="clear" w:color="auto" w:fill="auto"/>
            <w:vAlign w:val="center"/>
            <w:hideMark/>
          </w:tcPr>
          <w:p w:rsidR="006F0DDD" w:rsidRPr="005F0EDF" w:rsidRDefault="006F0DDD" w:rsidP="00356702">
            <w:pPr>
              <w:rPr>
                <w:color w:val="000000" w:themeColor="text1"/>
                <w:sz w:val="20"/>
                <w:szCs w:val="20"/>
              </w:rPr>
            </w:pPr>
            <w:r w:rsidRPr="005F0EDF">
              <w:rPr>
                <w:color w:val="000000" w:themeColor="text1"/>
                <w:sz w:val="20"/>
                <w:szCs w:val="20"/>
              </w:rPr>
              <w:t>Mean dependent var</w:t>
            </w:r>
          </w:p>
        </w:tc>
        <w:tc>
          <w:tcPr>
            <w:tcW w:w="1066" w:type="dxa"/>
            <w:tcBorders>
              <w:top w:val="nil"/>
              <w:left w:val="nil"/>
              <w:bottom w:val="nil"/>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0.554</w:t>
            </w:r>
          </w:p>
        </w:tc>
      </w:tr>
      <w:tr w:rsidR="006F0DDD" w:rsidRPr="005F0EDF" w:rsidTr="00356702">
        <w:trPr>
          <w:trHeight w:val="133"/>
        </w:trPr>
        <w:tc>
          <w:tcPr>
            <w:tcW w:w="1962" w:type="dxa"/>
            <w:gridSpan w:val="2"/>
            <w:tcBorders>
              <w:top w:val="nil"/>
              <w:left w:val="nil"/>
              <w:bottom w:val="nil"/>
              <w:right w:val="nil"/>
            </w:tcBorders>
            <w:shd w:val="clear" w:color="auto" w:fill="auto"/>
            <w:vAlign w:val="center"/>
            <w:hideMark/>
          </w:tcPr>
          <w:p w:rsidR="006F0DDD" w:rsidRPr="005F0EDF" w:rsidRDefault="006F0DDD" w:rsidP="00356702">
            <w:pPr>
              <w:rPr>
                <w:color w:val="000000" w:themeColor="text1"/>
                <w:sz w:val="20"/>
                <w:szCs w:val="20"/>
              </w:rPr>
            </w:pPr>
            <w:r w:rsidRPr="005F0EDF">
              <w:rPr>
                <w:color w:val="000000" w:themeColor="text1"/>
                <w:sz w:val="20"/>
                <w:szCs w:val="20"/>
              </w:rPr>
              <w:t>Adjusted R2</w:t>
            </w:r>
          </w:p>
        </w:tc>
        <w:tc>
          <w:tcPr>
            <w:tcW w:w="892" w:type="dxa"/>
            <w:gridSpan w:val="3"/>
            <w:tcBorders>
              <w:top w:val="nil"/>
              <w:left w:val="nil"/>
              <w:bottom w:val="nil"/>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0,691</w:t>
            </w:r>
          </w:p>
        </w:tc>
        <w:tc>
          <w:tcPr>
            <w:tcW w:w="2140" w:type="dxa"/>
            <w:gridSpan w:val="2"/>
            <w:tcBorders>
              <w:top w:val="nil"/>
              <w:left w:val="nil"/>
              <w:bottom w:val="nil"/>
              <w:right w:val="nil"/>
            </w:tcBorders>
            <w:shd w:val="clear" w:color="auto" w:fill="auto"/>
            <w:vAlign w:val="center"/>
            <w:hideMark/>
          </w:tcPr>
          <w:p w:rsidR="006F0DDD" w:rsidRPr="005F0EDF" w:rsidRDefault="006F0DDD" w:rsidP="00356702">
            <w:pPr>
              <w:rPr>
                <w:color w:val="000000" w:themeColor="text1"/>
                <w:sz w:val="20"/>
                <w:szCs w:val="20"/>
              </w:rPr>
            </w:pPr>
            <w:r w:rsidRPr="005F0EDF">
              <w:rPr>
                <w:color w:val="000000" w:themeColor="text1"/>
                <w:sz w:val="20"/>
                <w:szCs w:val="20"/>
              </w:rPr>
              <w:t>S.D. dependent var</w:t>
            </w:r>
          </w:p>
        </w:tc>
        <w:tc>
          <w:tcPr>
            <w:tcW w:w="1066" w:type="dxa"/>
            <w:tcBorders>
              <w:top w:val="nil"/>
              <w:left w:val="nil"/>
              <w:bottom w:val="nil"/>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0.656</w:t>
            </w:r>
          </w:p>
        </w:tc>
      </w:tr>
      <w:tr w:rsidR="006F0DDD" w:rsidRPr="005F0EDF" w:rsidTr="00356702">
        <w:trPr>
          <w:trHeight w:val="133"/>
        </w:trPr>
        <w:tc>
          <w:tcPr>
            <w:tcW w:w="1962" w:type="dxa"/>
            <w:gridSpan w:val="2"/>
            <w:tcBorders>
              <w:top w:val="nil"/>
              <w:left w:val="nil"/>
              <w:bottom w:val="nil"/>
              <w:right w:val="nil"/>
            </w:tcBorders>
            <w:shd w:val="clear" w:color="auto" w:fill="auto"/>
            <w:vAlign w:val="center"/>
            <w:hideMark/>
          </w:tcPr>
          <w:p w:rsidR="006F0DDD" w:rsidRPr="005F0EDF" w:rsidRDefault="006F0DDD" w:rsidP="00356702">
            <w:pPr>
              <w:rPr>
                <w:color w:val="000000" w:themeColor="text1"/>
                <w:sz w:val="20"/>
                <w:szCs w:val="20"/>
              </w:rPr>
            </w:pPr>
            <w:r w:rsidRPr="005F0EDF">
              <w:rPr>
                <w:color w:val="000000" w:themeColor="text1"/>
                <w:sz w:val="20"/>
                <w:szCs w:val="20"/>
              </w:rPr>
              <w:t>S.E. of regression</w:t>
            </w:r>
          </w:p>
        </w:tc>
        <w:tc>
          <w:tcPr>
            <w:tcW w:w="892" w:type="dxa"/>
            <w:gridSpan w:val="3"/>
            <w:tcBorders>
              <w:top w:val="nil"/>
              <w:left w:val="nil"/>
              <w:bottom w:val="nil"/>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0,365</w:t>
            </w:r>
          </w:p>
        </w:tc>
        <w:tc>
          <w:tcPr>
            <w:tcW w:w="2140" w:type="dxa"/>
            <w:gridSpan w:val="2"/>
            <w:tcBorders>
              <w:top w:val="nil"/>
              <w:left w:val="nil"/>
              <w:bottom w:val="nil"/>
              <w:right w:val="nil"/>
            </w:tcBorders>
            <w:shd w:val="clear" w:color="auto" w:fill="auto"/>
            <w:vAlign w:val="center"/>
            <w:hideMark/>
          </w:tcPr>
          <w:p w:rsidR="006F0DDD" w:rsidRPr="005F0EDF" w:rsidRDefault="006F0DDD" w:rsidP="00356702">
            <w:pPr>
              <w:rPr>
                <w:color w:val="000000" w:themeColor="text1"/>
                <w:sz w:val="20"/>
                <w:szCs w:val="20"/>
              </w:rPr>
            </w:pPr>
            <w:r w:rsidRPr="005F0EDF">
              <w:rPr>
                <w:color w:val="000000" w:themeColor="text1"/>
                <w:sz w:val="20"/>
                <w:szCs w:val="20"/>
              </w:rPr>
              <w:t>Akaike info criterion</w:t>
            </w:r>
          </w:p>
        </w:tc>
        <w:tc>
          <w:tcPr>
            <w:tcW w:w="1066" w:type="dxa"/>
            <w:tcBorders>
              <w:top w:val="nil"/>
              <w:left w:val="nil"/>
              <w:bottom w:val="nil"/>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0.924</w:t>
            </w:r>
          </w:p>
        </w:tc>
      </w:tr>
      <w:tr w:rsidR="006F0DDD" w:rsidRPr="005F0EDF" w:rsidTr="00356702">
        <w:trPr>
          <w:trHeight w:val="133"/>
        </w:trPr>
        <w:tc>
          <w:tcPr>
            <w:tcW w:w="1962" w:type="dxa"/>
            <w:gridSpan w:val="2"/>
            <w:tcBorders>
              <w:top w:val="nil"/>
              <w:left w:val="nil"/>
              <w:bottom w:val="nil"/>
              <w:right w:val="nil"/>
            </w:tcBorders>
            <w:shd w:val="clear" w:color="auto" w:fill="auto"/>
            <w:vAlign w:val="center"/>
            <w:hideMark/>
          </w:tcPr>
          <w:p w:rsidR="006F0DDD" w:rsidRPr="005F0EDF" w:rsidRDefault="006F0DDD" w:rsidP="00356702">
            <w:pPr>
              <w:rPr>
                <w:color w:val="000000" w:themeColor="text1"/>
                <w:sz w:val="20"/>
                <w:szCs w:val="20"/>
              </w:rPr>
            </w:pPr>
            <w:r w:rsidRPr="005F0EDF">
              <w:rPr>
                <w:color w:val="000000" w:themeColor="text1"/>
                <w:sz w:val="20"/>
                <w:szCs w:val="20"/>
              </w:rPr>
              <w:t>Sum squared resid</w:t>
            </w:r>
          </w:p>
        </w:tc>
        <w:tc>
          <w:tcPr>
            <w:tcW w:w="892" w:type="dxa"/>
            <w:gridSpan w:val="3"/>
            <w:tcBorders>
              <w:top w:val="nil"/>
              <w:left w:val="nil"/>
              <w:bottom w:val="nil"/>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25,804</w:t>
            </w:r>
          </w:p>
        </w:tc>
        <w:tc>
          <w:tcPr>
            <w:tcW w:w="2140" w:type="dxa"/>
            <w:gridSpan w:val="2"/>
            <w:tcBorders>
              <w:top w:val="nil"/>
              <w:left w:val="nil"/>
              <w:bottom w:val="nil"/>
              <w:right w:val="nil"/>
            </w:tcBorders>
            <w:shd w:val="clear" w:color="auto" w:fill="auto"/>
            <w:vAlign w:val="center"/>
            <w:hideMark/>
          </w:tcPr>
          <w:p w:rsidR="006F0DDD" w:rsidRPr="005F0EDF" w:rsidRDefault="006F0DDD" w:rsidP="00356702">
            <w:pPr>
              <w:rPr>
                <w:color w:val="000000" w:themeColor="text1"/>
                <w:sz w:val="20"/>
                <w:szCs w:val="20"/>
              </w:rPr>
            </w:pPr>
            <w:r w:rsidRPr="005F0EDF">
              <w:rPr>
                <w:color w:val="000000" w:themeColor="text1"/>
                <w:sz w:val="20"/>
                <w:szCs w:val="20"/>
              </w:rPr>
              <w:t>Schwarz criterion</w:t>
            </w:r>
          </w:p>
        </w:tc>
        <w:tc>
          <w:tcPr>
            <w:tcW w:w="1066" w:type="dxa"/>
            <w:tcBorders>
              <w:top w:val="nil"/>
              <w:left w:val="nil"/>
              <w:bottom w:val="nil"/>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1.297</w:t>
            </w:r>
          </w:p>
        </w:tc>
      </w:tr>
      <w:tr w:rsidR="006F0DDD" w:rsidRPr="005F0EDF" w:rsidTr="00356702">
        <w:trPr>
          <w:trHeight w:val="133"/>
        </w:trPr>
        <w:tc>
          <w:tcPr>
            <w:tcW w:w="1962" w:type="dxa"/>
            <w:gridSpan w:val="2"/>
            <w:tcBorders>
              <w:top w:val="nil"/>
              <w:left w:val="nil"/>
              <w:bottom w:val="nil"/>
              <w:right w:val="nil"/>
            </w:tcBorders>
            <w:shd w:val="clear" w:color="auto" w:fill="auto"/>
            <w:vAlign w:val="center"/>
            <w:hideMark/>
          </w:tcPr>
          <w:p w:rsidR="006F0DDD" w:rsidRPr="005F0EDF" w:rsidRDefault="006F0DDD" w:rsidP="00356702">
            <w:pPr>
              <w:rPr>
                <w:color w:val="000000" w:themeColor="text1"/>
                <w:sz w:val="20"/>
                <w:szCs w:val="20"/>
              </w:rPr>
            </w:pPr>
            <w:r w:rsidRPr="005F0EDF">
              <w:rPr>
                <w:color w:val="000000" w:themeColor="text1"/>
                <w:sz w:val="20"/>
                <w:szCs w:val="20"/>
              </w:rPr>
              <w:t>Log likelihood</w:t>
            </w:r>
          </w:p>
        </w:tc>
        <w:tc>
          <w:tcPr>
            <w:tcW w:w="892" w:type="dxa"/>
            <w:gridSpan w:val="3"/>
            <w:tcBorders>
              <w:top w:val="nil"/>
              <w:left w:val="nil"/>
              <w:bottom w:val="nil"/>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-76,725</w:t>
            </w:r>
          </w:p>
        </w:tc>
        <w:tc>
          <w:tcPr>
            <w:tcW w:w="2140" w:type="dxa"/>
            <w:gridSpan w:val="2"/>
            <w:tcBorders>
              <w:top w:val="nil"/>
              <w:left w:val="nil"/>
              <w:bottom w:val="nil"/>
              <w:right w:val="nil"/>
            </w:tcBorders>
            <w:shd w:val="clear" w:color="auto" w:fill="auto"/>
            <w:vAlign w:val="center"/>
            <w:hideMark/>
          </w:tcPr>
          <w:p w:rsidR="006F0DDD" w:rsidRPr="005F0EDF" w:rsidRDefault="006F0DDD" w:rsidP="00356702">
            <w:pPr>
              <w:rPr>
                <w:color w:val="000000" w:themeColor="text1"/>
                <w:sz w:val="20"/>
                <w:szCs w:val="20"/>
              </w:rPr>
            </w:pPr>
            <w:r w:rsidRPr="005F0EDF">
              <w:rPr>
                <w:color w:val="000000" w:themeColor="text1"/>
                <w:sz w:val="20"/>
                <w:szCs w:val="20"/>
              </w:rPr>
              <w:t>Hannan-Quinn criter.</w:t>
            </w:r>
          </w:p>
        </w:tc>
        <w:tc>
          <w:tcPr>
            <w:tcW w:w="1066" w:type="dxa"/>
            <w:tcBorders>
              <w:top w:val="nil"/>
              <w:left w:val="nil"/>
              <w:bottom w:val="nil"/>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1,075</w:t>
            </w:r>
          </w:p>
        </w:tc>
      </w:tr>
      <w:tr w:rsidR="006F0DDD" w:rsidRPr="005F0EDF" w:rsidTr="00356702">
        <w:trPr>
          <w:trHeight w:val="133"/>
        </w:trPr>
        <w:tc>
          <w:tcPr>
            <w:tcW w:w="1962" w:type="dxa"/>
            <w:gridSpan w:val="2"/>
            <w:tcBorders>
              <w:top w:val="nil"/>
              <w:left w:val="nil"/>
              <w:bottom w:val="nil"/>
              <w:right w:val="nil"/>
            </w:tcBorders>
            <w:shd w:val="clear" w:color="auto" w:fill="auto"/>
            <w:vAlign w:val="center"/>
            <w:hideMark/>
          </w:tcPr>
          <w:p w:rsidR="006F0DDD" w:rsidRPr="005F0EDF" w:rsidRDefault="006F0DDD" w:rsidP="00356702">
            <w:pPr>
              <w:rPr>
                <w:color w:val="000000" w:themeColor="text1"/>
                <w:sz w:val="20"/>
                <w:szCs w:val="20"/>
              </w:rPr>
            </w:pPr>
            <w:r w:rsidRPr="005F0EDF">
              <w:rPr>
                <w:color w:val="000000" w:themeColor="text1"/>
                <w:sz w:val="20"/>
                <w:szCs w:val="20"/>
              </w:rPr>
              <w:t>F-statistic</w:t>
            </w:r>
          </w:p>
        </w:tc>
        <w:tc>
          <w:tcPr>
            <w:tcW w:w="892" w:type="dxa"/>
            <w:gridSpan w:val="3"/>
            <w:tcBorders>
              <w:top w:val="nil"/>
              <w:left w:val="nil"/>
              <w:bottom w:val="nil"/>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22,117</w:t>
            </w:r>
          </w:p>
        </w:tc>
        <w:tc>
          <w:tcPr>
            <w:tcW w:w="2140" w:type="dxa"/>
            <w:gridSpan w:val="2"/>
            <w:tcBorders>
              <w:top w:val="nil"/>
              <w:left w:val="nil"/>
              <w:bottom w:val="nil"/>
              <w:right w:val="nil"/>
            </w:tcBorders>
            <w:shd w:val="clear" w:color="auto" w:fill="auto"/>
            <w:vAlign w:val="center"/>
            <w:hideMark/>
          </w:tcPr>
          <w:p w:rsidR="006F0DDD" w:rsidRPr="005F0EDF" w:rsidRDefault="006F0DDD" w:rsidP="00356702">
            <w:pPr>
              <w:rPr>
                <w:color w:val="000000" w:themeColor="text1"/>
                <w:sz w:val="20"/>
                <w:szCs w:val="20"/>
              </w:rPr>
            </w:pPr>
            <w:r w:rsidRPr="005F0EDF">
              <w:rPr>
                <w:color w:val="000000" w:themeColor="text1"/>
                <w:sz w:val="20"/>
                <w:szCs w:val="20"/>
              </w:rPr>
              <w:t>Durbin-Watson stat</w:t>
            </w:r>
          </w:p>
        </w:tc>
        <w:tc>
          <w:tcPr>
            <w:tcW w:w="1066" w:type="dxa"/>
            <w:tcBorders>
              <w:top w:val="nil"/>
              <w:left w:val="nil"/>
              <w:bottom w:val="nil"/>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2,051</w:t>
            </w:r>
          </w:p>
        </w:tc>
      </w:tr>
      <w:tr w:rsidR="006F0DDD" w:rsidRPr="005F0EDF" w:rsidTr="005F0EDF">
        <w:trPr>
          <w:trHeight w:val="73"/>
        </w:trPr>
        <w:tc>
          <w:tcPr>
            <w:tcW w:w="1962" w:type="dxa"/>
            <w:gridSpan w:val="2"/>
            <w:tcBorders>
              <w:top w:val="nil"/>
              <w:left w:val="nil"/>
              <w:bottom w:val="double" w:sz="6" w:space="0" w:color="auto"/>
              <w:right w:val="nil"/>
            </w:tcBorders>
            <w:shd w:val="clear" w:color="auto" w:fill="auto"/>
            <w:vAlign w:val="center"/>
            <w:hideMark/>
          </w:tcPr>
          <w:p w:rsidR="006F0DDD" w:rsidRPr="005F0EDF" w:rsidRDefault="006F0DDD" w:rsidP="00356702">
            <w:pPr>
              <w:rPr>
                <w:color w:val="000000" w:themeColor="text1"/>
                <w:sz w:val="20"/>
                <w:szCs w:val="20"/>
              </w:rPr>
            </w:pPr>
            <w:r w:rsidRPr="005F0EDF">
              <w:rPr>
                <w:color w:val="000000" w:themeColor="text1"/>
                <w:sz w:val="20"/>
                <w:szCs w:val="20"/>
              </w:rPr>
              <w:t>Prob(F-statistic)</w:t>
            </w:r>
          </w:p>
        </w:tc>
        <w:tc>
          <w:tcPr>
            <w:tcW w:w="892" w:type="dxa"/>
            <w:gridSpan w:val="3"/>
            <w:tcBorders>
              <w:top w:val="nil"/>
              <w:left w:val="nil"/>
              <w:bottom w:val="double" w:sz="6" w:space="0" w:color="auto"/>
              <w:right w:val="nil"/>
            </w:tcBorders>
            <w:shd w:val="clear" w:color="auto" w:fill="auto"/>
            <w:vAlign w:val="bottom"/>
            <w:hideMark/>
          </w:tcPr>
          <w:p w:rsidR="006F0DDD" w:rsidRPr="005F0EDF" w:rsidRDefault="006F0DDD" w:rsidP="00356702">
            <w:pPr>
              <w:jc w:val="right"/>
              <w:rPr>
                <w:color w:val="000000" w:themeColor="text1"/>
                <w:sz w:val="20"/>
                <w:szCs w:val="20"/>
              </w:rPr>
            </w:pPr>
            <w:r w:rsidRPr="005F0EDF">
              <w:rPr>
                <w:color w:val="000000"/>
                <w:sz w:val="20"/>
                <w:szCs w:val="20"/>
              </w:rPr>
              <w:t>0,000</w:t>
            </w:r>
          </w:p>
        </w:tc>
        <w:tc>
          <w:tcPr>
            <w:tcW w:w="980" w:type="dxa"/>
            <w:tcBorders>
              <w:top w:val="nil"/>
              <w:left w:val="nil"/>
              <w:bottom w:val="double" w:sz="6" w:space="0" w:color="auto"/>
              <w:right w:val="nil"/>
            </w:tcBorders>
            <w:shd w:val="clear" w:color="auto" w:fill="auto"/>
            <w:vAlign w:val="center"/>
            <w:hideMark/>
          </w:tcPr>
          <w:p w:rsidR="006F0DDD" w:rsidRPr="005F0EDF" w:rsidRDefault="006F0DDD" w:rsidP="00356702">
            <w:pPr>
              <w:jc w:val="center"/>
              <w:rPr>
                <w:color w:val="000000" w:themeColor="text1"/>
                <w:sz w:val="20"/>
                <w:szCs w:val="20"/>
              </w:rPr>
            </w:pPr>
            <w:r w:rsidRPr="005F0EDF">
              <w:rPr>
                <w:color w:val="000000" w:themeColor="text1"/>
                <w:sz w:val="20"/>
                <w:szCs w:val="20"/>
              </w:rPr>
              <w:t> </w:t>
            </w:r>
          </w:p>
        </w:tc>
        <w:tc>
          <w:tcPr>
            <w:tcW w:w="1160" w:type="dxa"/>
            <w:tcBorders>
              <w:top w:val="nil"/>
              <w:left w:val="nil"/>
              <w:bottom w:val="double" w:sz="6" w:space="0" w:color="auto"/>
              <w:right w:val="nil"/>
            </w:tcBorders>
            <w:shd w:val="clear" w:color="auto" w:fill="auto"/>
            <w:vAlign w:val="center"/>
            <w:hideMark/>
          </w:tcPr>
          <w:p w:rsidR="006F0DDD" w:rsidRPr="005F0EDF" w:rsidRDefault="006F0DDD" w:rsidP="00356702">
            <w:pPr>
              <w:jc w:val="center"/>
              <w:rPr>
                <w:color w:val="000000" w:themeColor="text1"/>
                <w:sz w:val="20"/>
                <w:szCs w:val="20"/>
              </w:rPr>
            </w:pPr>
            <w:r w:rsidRPr="005F0EDF">
              <w:rPr>
                <w:color w:val="000000" w:themeColor="text1"/>
                <w:sz w:val="20"/>
                <w:szCs w:val="20"/>
              </w:rPr>
              <w:t> </w:t>
            </w:r>
          </w:p>
        </w:tc>
        <w:tc>
          <w:tcPr>
            <w:tcW w:w="1066" w:type="dxa"/>
            <w:tcBorders>
              <w:top w:val="nil"/>
              <w:left w:val="nil"/>
              <w:bottom w:val="double" w:sz="6" w:space="0" w:color="auto"/>
              <w:right w:val="nil"/>
            </w:tcBorders>
            <w:shd w:val="clear" w:color="auto" w:fill="auto"/>
            <w:vAlign w:val="center"/>
            <w:hideMark/>
          </w:tcPr>
          <w:p w:rsidR="006F0DDD" w:rsidRPr="005F0EDF" w:rsidRDefault="006F0DDD" w:rsidP="00356702">
            <w:pPr>
              <w:jc w:val="center"/>
              <w:rPr>
                <w:color w:val="000000" w:themeColor="text1"/>
                <w:sz w:val="20"/>
                <w:szCs w:val="20"/>
              </w:rPr>
            </w:pPr>
            <w:r w:rsidRPr="005F0EDF">
              <w:rPr>
                <w:color w:val="000000" w:themeColor="text1"/>
                <w:sz w:val="20"/>
                <w:szCs w:val="20"/>
              </w:rPr>
              <w:t> </w:t>
            </w:r>
          </w:p>
        </w:tc>
      </w:tr>
      <w:tr w:rsidR="006F0DDD" w:rsidRPr="005F0EDF" w:rsidTr="005F0ED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8"/>
          <w:jc w:val="center"/>
        </w:trPr>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F0DDD" w:rsidRPr="005F0EDF" w:rsidRDefault="006F0DDD" w:rsidP="00356702">
            <w:pPr>
              <w:jc w:val="both"/>
              <w:rPr>
                <w:color w:val="000000" w:themeColor="text1"/>
                <w:sz w:val="20"/>
                <w:szCs w:val="20"/>
              </w:rPr>
            </w:pPr>
          </w:p>
        </w:tc>
        <w:tc>
          <w:tcPr>
            <w:tcW w:w="185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F0DDD" w:rsidRPr="005F0EDF" w:rsidRDefault="006F0DDD" w:rsidP="00356702">
            <w:pPr>
              <w:jc w:val="center"/>
              <w:rPr>
                <w:b/>
                <w:color w:val="000000" w:themeColor="text1"/>
                <w:sz w:val="20"/>
                <w:szCs w:val="20"/>
              </w:rPr>
            </w:pPr>
            <w:r w:rsidRPr="005F0EDF">
              <w:rPr>
                <w:b/>
                <w:color w:val="000000" w:themeColor="text1"/>
                <w:sz w:val="20"/>
                <w:szCs w:val="20"/>
              </w:rPr>
              <w:t>G = 0</w:t>
            </w:r>
          </w:p>
        </w:tc>
        <w:tc>
          <w:tcPr>
            <w:tcW w:w="22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F0DDD" w:rsidRPr="005F0EDF" w:rsidRDefault="006F0DDD" w:rsidP="00356702">
            <w:pPr>
              <w:jc w:val="center"/>
              <w:rPr>
                <w:b/>
                <w:color w:val="000000" w:themeColor="text1"/>
                <w:sz w:val="20"/>
                <w:szCs w:val="20"/>
              </w:rPr>
            </w:pPr>
            <w:r w:rsidRPr="005F0EDF">
              <w:rPr>
                <w:b/>
                <w:color w:val="000000" w:themeColor="text1"/>
                <w:sz w:val="20"/>
                <w:szCs w:val="20"/>
              </w:rPr>
              <w:t>G = 1</w:t>
            </w:r>
          </w:p>
        </w:tc>
      </w:tr>
      <w:tr w:rsidR="006F0DDD" w:rsidRPr="005F0EDF" w:rsidTr="005F0ED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8"/>
          <w:jc w:val="center"/>
        </w:trPr>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F0DDD" w:rsidRPr="005F0EDF" w:rsidRDefault="006F0DDD" w:rsidP="00356702">
            <w:pPr>
              <w:jc w:val="both"/>
              <w:rPr>
                <w:color w:val="000000" w:themeColor="text1"/>
                <w:sz w:val="20"/>
                <w:szCs w:val="20"/>
              </w:rPr>
            </w:pPr>
            <w:r w:rsidRPr="005F0EDF">
              <w:rPr>
                <w:color w:val="000000" w:themeColor="text1"/>
                <w:sz w:val="20"/>
                <w:szCs w:val="20"/>
              </w:rPr>
              <w:t xml:space="preserve">SR ERPT </w:t>
            </w:r>
          </w:p>
        </w:tc>
        <w:tc>
          <w:tcPr>
            <w:tcW w:w="1854" w:type="dxa"/>
            <w:gridSpan w:val="3"/>
            <w:tcBorders>
              <w:top w:val="single" w:sz="4" w:space="0" w:color="auto"/>
              <w:left w:val="single" w:sz="4" w:space="0" w:color="auto"/>
              <w:bottom w:val="single" w:sz="4" w:space="0" w:color="auto"/>
              <w:right w:val="single" w:sz="4" w:space="0" w:color="auto"/>
            </w:tcBorders>
            <w:shd w:val="clear" w:color="auto" w:fill="auto"/>
            <w:hideMark/>
          </w:tcPr>
          <w:p w:rsidR="006F0DDD" w:rsidRPr="005F0EDF" w:rsidRDefault="006F0DDD" w:rsidP="00356702">
            <w:pPr>
              <w:jc w:val="center"/>
              <w:rPr>
                <w:color w:val="000000" w:themeColor="text1"/>
                <w:sz w:val="20"/>
                <w:szCs w:val="20"/>
              </w:rPr>
            </w:pPr>
            <w:r w:rsidRPr="005F0EDF">
              <w:rPr>
                <w:sz w:val="20"/>
                <w:szCs w:val="20"/>
              </w:rPr>
              <w:t>0,105</w:t>
            </w:r>
          </w:p>
        </w:tc>
        <w:tc>
          <w:tcPr>
            <w:tcW w:w="2226" w:type="dxa"/>
            <w:gridSpan w:val="2"/>
            <w:tcBorders>
              <w:top w:val="single" w:sz="4" w:space="0" w:color="auto"/>
              <w:left w:val="single" w:sz="4" w:space="0" w:color="auto"/>
              <w:bottom w:val="single" w:sz="4" w:space="0" w:color="auto"/>
              <w:right w:val="single" w:sz="4" w:space="0" w:color="auto"/>
            </w:tcBorders>
            <w:shd w:val="clear" w:color="auto" w:fill="auto"/>
            <w:hideMark/>
          </w:tcPr>
          <w:p w:rsidR="006F0DDD" w:rsidRPr="005F0EDF" w:rsidRDefault="006F0DDD" w:rsidP="00356702">
            <w:pPr>
              <w:jc w:val="center"/>
              <w:rPr>
                <w:color w:val="000000" w:themeColor="text1"/>
                <w:sz w:val="20"/>
                <w:szCs w:val="20"/>
              </w:rPr>
            </w:pPr>
            <w:r w:rsidRPr="005F0EDF">
              <w:rPr>
                <w:sz w:val="20"/>
                <w:szCs w:val="20"/>
              </w:rPr>
              <w:t>-0,038</w:t>
            </w:r>
          </w:p>
        </w:tc>
      </w:tr>
      <w:tr w:rsidR="006F0DDD" w:rsidRPr="005F0EDF" w:rsidTr="005F0ED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8"/>
          <w:jc w:val="center"/>
        </w:trPr>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F0DDD" w:rsidRPr="005F0EDF" w:rsidRDefault="006F0DDD" w:rsidP="00356702">
            <w:pPr>
              <w:rPr>
                <w:i/>
                <w:color w:val="000000" w:themeColor="text1"/>
                <w:sz w:val="20"/>
                <w:szCs w:val="20"/>
              </w:rPr>
            </w:pPr>
            <w:r w:rsidRPr="005F0EDF">
              <w:rPr>
                <w:i/>
                <w:color w:val="000000" w:themeColor="text1"/>
                <w:sz w:val="20"/>
                <w:szCs w:val="20"/>
              </w:rPr>
              <w:t>p_value</w:t>
            </w:r>
          </w:p>
        </w:tc>
        <w:tc>
          <w:tcPr>
            <w:tcW w:w="1854" w:type="dxa"/>
            <w:gridSpan w:val="3"/>
            <w:tcBorders>
              <w:top w:val="single" w:sz="4" w:space="0" w:color="auto"/>
              <w:left w:val="single" w:sz="4" w:space="0" w:color="auto"/>
              <w:bottom w:val="single" w:sz="4" w:space="0" w:color="auto"/>
              <w:right w:val="single" w:sz="4" w:space="0" w:color="auto"/>
            </w:tcBorders>
            <w:shd w:val="clear" w:color="auto" w:fill="auto"/>
          </w:tcPr>
          <w:p w:rsidR="006F0DDD" w:rsidRPr="005F0EDF" w:rsidRDefault="006F0DDD" w:rsidP="00356702">
            <w:pPr>
              <w:jc w:val="center"/>
              <w:rPr>
                <w:i/>
                <w:iCs/>
                <w:color w:val="000000" w:themeColor="text1"/>
                <w:sz w:val="20"/>
                <w:szCs w:val="20"/>
              </w:rPr>
            </w:pPr>
            <w:r w:rsidRPr="005F0EDF">
              <w:rPr>
                <w:i/>
                <w:sz w:val="20"/>
                <w:szCs w:val="20"/>
              </w:rPr>
              <w:t>0,0145</w:t>
            </w:r>
          </w:p>
        </w:tc>
        <w:tc>
          <w:tcPr>
            <w:tcW w:w="2226" w:type="dxa"/>
            <w:gridSpan w:val="2"/>
            <w:tcBorders>
              <w:top w:val="single" w:sz="4" w:space="0" w:color="auto"/>
              <w:left w:val="single" w:sz="4" w:space="0" w:color="auto"/>
              <w:bottom w:val="single" w:sz="4" w:space="0" w:color="auto"/>
              <w:right w:val="single" w:sz="4" w:space="0" w:color="auto"/>
            </w:tcBorders>
            <w:shd w:val="clear" w:color="auto" w:fill="auto"/>
          </w:tcPr>
          <w:p w:rsidR="006F0DDD" w:rsidRPr="005F0EDF" w:rsidRDefault="006F0DDD" w:rsidP="00356702">
            <w:pPr>
              <w:jc w:val="center"/>
              <w:rPr>
                <w:i/>
                <w:iCs/>
                <w:color w:val="000000" w:themeColor="text1"/>
                <w:sz w:val="20"/>
                <w:szCs w:val="20"/>
              </w:rPr>
            </w:pPr>
            <w:r w:rsidRPr="005F0EDF">
              <w:rPr>
                <w:i/>
                <w:sz w:val="20"/>
                <w:szCs w:val="20"/>
              </w:rPr>
              <w:t>0,484</w:t>
            </w:r>
          </w:p>
        </w:tc>
      </w:tr>
      <w:tr w:rsidR="006F0DDD" w:rsidRPr="005F0EDF" w:rsidTr="005F0ED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8"/>
          <w:jc w:val="center"/>
        </w:trPr>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F0DDD" w:rsidRPr="005F0EDF" w:rsidRDefault="006F0DDD" w:rsidP="00356702">
            <w:pPr>
              <w:jc w:val="both"/>
              <w:rPr>
                <w:color w:val="000000" w:themeColor="text1"/>
                <w:sz w:val="20"/>
                <w:szCs w:val="20"/>
              </w:rPr>
            </w:pPr>
            <w:r w:rsidRPr="005F0EDF">
              <w:rPr>
                <w:color w:val="000000" w:themeColor="text1"/>
                <w:sz w:val="20"/>
                <w:szCs w:val="20"/>
              </w:rPr>
              <w:t>LR ERPT</w:t>
            </w:r>
          </w:p>
        </w:tc>
        <w:tc>
          <w:tcPr>
            <w:tcW w:w="1854" w:type="dxa"/>
            <w:gridSpan w:val="3"/>
            <w:tcBorders>
              <w:top w:val="single" w:sz="4" w:space="0" w:color="auto"/>
              <w:left w:val="single" w:sz="4" w:space="0" w:color="auto"/>
              <w:bottom w:val="single" w:sz="4" w:space="0" w:color="auto"/>
              <w:right w:val="single" w:sz="4" w:space="0" w:color="auto"/>
            </w:tcBorders>
            <w:shd w:val="clear" w:color="auto" w:fill="auto"/>
            <w:hideMark/>
          </w:tcPr>
          <w:p w:rsidR="006F0DDD" w:rsidRPr="005F0EDF" w:rsidRDefault="006F0DDD" w:rsidP="00356702">
            <w:pPr>
              <w:jc w:val="center"/>
              <w:rPr>
                <w:color w:val="000000" w:themeColor="text1"/>
                <w:sz w:val="20"/>
                <w:szCs w:val="20"/>
              </w:rPr>
            </w:pPr>
            <w:r w:rsidRPr="005F0EDF">
              <w:rPr>
                <w:sz w:val="20"/>
                <w:szCs w:val="20"/>
              </w:rPr>
              <w:t>-0,145</w:t>
            </w:r>
          </w:p>
        </w:tc>
        <w:tc>
          <w:tcPr>
            <w:tcW w:w="2226" w:type="dxa"/>
            <w:gridSpan w:val="2"/>
            <w:tcBorders>
              <w:top w:val="single" w:sz="4" w:space="0" w:color="auto"/>
              <w:left w:val="single" w:sz="4" w:space="0" w:color="auto"/>
              <w:bottom w:val="single" w:sz="4" w:space="0" w:color="auto"/>
              <w:right w:val="single" w:sz="4" w:space="0" w:color="auto"/>
            </w:tcBorders>
            <w:shd w:val="clear" w:color="auto" w:fill="auto"/>
            <w:hideMark/>
          </w:tcPr>
          <w:p w:rsidR="006F0DDD" w:rsidRPr="005F0EDF" w:rsidRDefault="006F0DDD" w:rsidP="00356702">
            <w:pPr>
              <w:jc w:val="center"/>
              <w:rPr>
                <w:color w:val="000000" w:themeColor="text1"/>
                <w:sz w:val="20"/>
                <w:szCs w:val="20"/>
              </w:rPr>
            </w:pPr>
            <w:r w:rsidRPr="005F0EDF">
              <w:rPr>
                <w:sz w:val="20"/>
                <w:szCs w:val="20"/>
              </w:rPr>
              <w:t>0,166</w:t>
            </w:r>
          </w:p>
        </w:tc>
      </w:tr>
      <w:tr w:rsidR="006F0DDD" w:rsidRPr="005F0EDF" w:rsidTr="005F0ED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0"/>
          <w:jc w:val="center"/>
        </w:trPr>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F0DDD" w:rsidRPr="005F0EDF" w:rsidRDefault="006F0DDD" w:rsidP="00356702">
            <w:pPr>
              <w:jc w:val="both"/>
              <w:rPr>
                <w:i/>
                <w:color w:val="000000" w:themeColor="text1"/>
                <w:sz w:val="20"/>
                <w:szCs w:val="20"/>
              </w:rPr>
            </w:pPr>
            <w:r w:rsidRPr="005F0EDF">
              <w:rPr>
                <w:i/>
                <w:color w:val="000000" w:themeColor="text1"/>
                <w:sz w:val="20"/>
                <w:szCs w:val="20"/>
              </w:rPr>
              <w:t>p_value</w:t>
            </w:r>
          </w:p>
        </w:tc>
        <w:tc>
          <w:tcPr>
            <w:tcW w:w="1854" w:type="dxa"/>
            <w:gridSpan w:val="3"/>
            <w:tcBorders>
              <w:top w:val="single" w:sz="4" w:space="0" w:color="auto"/>
              <w:left w:val="single" w:sz="4" w:space="0" w:color="auto"/>
              <w:bottom w:val="single" w:sz="4" w:space="0" w:color="auto"/>
              <w:right w:val="single" w:sz="4" w:space="0" w:color="auto"/>
            </w:tcBorders>
            <w:shd w:val="clear" w:color="auto" w:fill="auto"/>
          </w:tcPr>
          <w:p w:rsidR="006F0DDD" w:rsidRPr="005F0EDF" w:rsidRDefault="006F0DDD" w:rsidP="00356702">
            <w:pPr>
              <w:jc w:val="center"/>
              <w:rPr>
                <w:i/>
                <w:iCs/>
                <w:color w:val="000000" w:themeColor="text1"/>
                <w:sz w:val="20"/>
                <w:szCs w:val="20"/>
              </w:rPr>
            </w:pPr>
            <w:r w:rsidRPr="005F0EDF">
              <w:rPr>
                <w:i/>
                <w:sz w:val="20"/>
                <w:szCs w:val="20"/>
              </w:rPr>
              <w:t>0,650</w:t>
            </w:r>
          </w:p>
        </w:tc>
        <w:tc>
          <w:tcPr>
            <w:tcW w:w="2226" w:type="dxa"/>
            <w:gridSpan w:val="2"/>
            <w:tcBorders>
              <w:top w:val="single" w:sz="4" w:space="0" w:color="auto"/>
              <w:left w:val="single" w:sz="4" w:space="0" w:color="auto"/>
              <w:bottom w:val="single" w:sz="4" w:space="0" w:color="auto"/>
              <w:right w:val="single" w:sz="4" w:space="0" w:color="auto"/>
            </w:tcBorders>
            <w:shd w:val="clear" w:color="auto" w:fill="auto"/>
          </w:tcPr>
          <w:p w:rsidR="006F0DDD" w:rsidRPr="005F0EDF" w:rsidRDefault="006F0DDD" w:rsidP="00356702">
            <w:pPr>
              <w:jc w:val="center"/>
              <w:rPr>
                <w:i/>
                <w:iCs/>
                <w:color w:val="000000" w:themeColor="text1"/>
                <w:sz w:val="20"/>
                <w:szCs w:val="20"/>
              </w:rPr>
            </w:pPr>
            <w:r w:rsidRPr="005F0EDF">
              <w:rPr>
                <w:i/>
                <w:sz w:val="20"/>
                <w:szCs w:val="20"/>
              </w:rPr>
              <w:t>0,671</w:t>
            </w:r>
          </w:p>
        </w:tc>
      </w:tr>
    </w:tbl>
    <w:bookmarkEnd w:id="101"/>
    <w:bookmarkEnd w:id="102"/>
    <w:p w:rsidR="006F0DDD" w:rsidRPr="000B3A8F" w:rsidRDefault="006F0DDD" w:rsidP="000B3A8F">
      <w:pPr>
        <w:spacing w:line="340" w:lineRule="exact"/>
        <w:jc w:val="both"/>
        <w:rPr>
          <w:sz w:val="22"/>
          <w:szCs w:val="22"/>
        </w:rPr>
      </w:pPr>
      <w:r w:rsidRPr="000B3A8F">
        <w:rPr>
          <w:sz w:val="22"/>
          <w:szCs w:val="22"/>
        </w:rPr>
        <w:t xml:space="preserve">Using the growth of industrial output to proxy Vietnam's economic cycle, the empirical results show evidence of the asymmetric exchange rates pass-through into the economic cycle. In the short run when the economy shrinks ERPT increases, while ERPT decreases as the economy expands. In the </w:t>
      </w:r>
      <w:proofErr w:type="gramStart"/>
      <w:r w:rsidRPr="000B3A8F">
        <w:rPr>
          <w:sz w:val="22"/>
          <w:szCs w:val="22"/>
        </w:rPr>
        <w:t>long run</w:t>
      </w:r>
      <w:proofErr w:type="gramEnd"/>
      <w:r w:rsidRPr="000B3A8F">
        <w:rPr>
          <w:sz w:val="22"/>
          <w:szCs w:val="22"/>
        </w:rPr>
        <w:t>, the ERPT coefficient represents the economic cyclical consensus, in particular</w:t>
      </w:r>
      <w:r w:rsidR="00F11A51" w:rsidRPr="000B3A8F">
        <w:rPr>
          <w:sz w:val="22"/>
          <w:szCs w:val="22"/>
        </w:rPr>
        <w:t>,</w:t>
      </w:r>
      <w:r w:rsidRPr="000B3A8F">
        <w:rPr>
          <w:sz w:val="22"/>
          <w:szCs w:val="22"/>
        </w:rPr>
        <w:t xml:space="preserve"> ERPT will be higher when t</w:t>
      </w:r>
      <w:r w:rsidR="009070AA" w:rsidRPr="000B3A8F">
        <w:rPr>
          <w:sz w:val="22"/>
          <w:szCs w:val="22"/>
        </w:rPr>
        <w:t xml:space="preserve">he economy is in an expansion </w:t>
      </w:r>
      <w:r w:rsidRPr="000B3A8F">
        <w:rPr>
          <w:sz w:val="22"/>
          <w:szCs w:val="22"/>
        </w:rPr>
        <w:t>state compared to when the economy is in recession.</w:t>
      </w:r>
    </w:p>
    <w:p w:rsidR="006F0DDD" w:rsidRPr="000B3A8F" w:rsidRDefault="006F0DDD" w:rsidP="000B3A8F">
      <w:pPr>
        <w:spacing w:line="340" w:lineRule="exact"/>
        <w:jc w:val="both"/>
        <w:rPr>
          <w:sz w:val="22"/>
          <w:szCs w:val="22"/>
        </w:rPr>
      </w:pPr>
      <w:r w:rsidRPr="000B3A8F">
        <w:rPr>
          <w:sz w:val="22"/>
          <w:szCs w:val="22"/>
        </w:rPr>
        <w:t xml:space="preserve">Findings from this section in Vietnam that </w:t>
      </w:r>
      <w:r w:rsidR="009070AA" w:rsidRPr="000B3A8F">
        <w:rPr>
          <w:sz w:val="22"/>
          <w:szCs w:val="22"/>
        </w:rPr>
        <w:t xml:space="preserve">ERPT </w:t>
      </w:r>
      <w:r w:rsidRPr="000B3A8F">
        <w:rPr>
          <w:sz w:val="22"/>
          <w:szCs w:val="22"/>
        </w:rPr>
        <w:t>are influenced by economic cycles are similar to those found by Nogueira and León-Ledesma (2008), Correa and Minella (2006), Goldfajn and Werlang (2000), Cheikh (2012).</w:t>
      </w:r>
    </w:p>
    <w:p w:rsidR="007F4307" w:rsidRPr="000B3A8F" w:rsidRDefault="00FA0FF6" w:rsidP="000B3A8F">
      <w:pPr>
        <w:pStyle w:val="Heading2"/>
        <w:spacing w:line="340" w:lineRule="exact"/>
        <w:rPr>
          <w:rFonts w:ascii="Times New Roman" w:hAnsi="Times New Roman" w:cs="Times New Roman"/>
          <w:b/>
          <w:color w:val="auto"/>
          <w:sz w:val="22"/>
          <w:szCs w:val="22"/>
        </w:rPr>
      </w:pPr>
      <w:r w:rsidRPr="000B3A8F">
        <w:rPr>
          <w:rFonts w:ascii="Times New Roman" w:hAnsi="Times New Roman" w:cs="Times New Roman"/>
          <w:b/>
          <w:color w:val="auto"/>
          <w:sz w:val="22"/>
          <w:szCs w:val="22"/>
        </w:rPr>
        <w:lastRenderedPageBreak/>
        <w:t>4.</w:t>
      </w:r>
      <w:r w:rsidR="007F4307" w:rsidRPr="000B3A8F">
        <w:rPr>
          <w:rFonts w:ascii="Times New Roman" w:hAnsi="Times New Roman" w:cs="Times New Roman"/>
          <w:b/>
          <w:color w:val="auto"/>
          <w:sz w:val="22"/>
          <w:szCs w:val="22"/>
        </w:rPr>
        <w:t xml:space="preserve">5 </w:t>
      </w:r>
      <w:bookmarkStart w:id="103" w:name="OLE_LINK982"/>
      <w:bookmarkStart w:id="104" w:name="OLE_LINK983"/>
      <w:r w:rsidR="009E1C0F" w:rsidRPr="000B3A8F">
        <w:rPr>
          <w:rFonts w:ascii="Times New Roman" w:hAnsi="Times New Roman" w:cs="Times New Roman"/>
          <w:b/>
          <w:color w:val="auto"/>
          <w:sz w:val="22"/>
          <w:szCs w:val="22"/>
        </w:rPr>
        <w:t xml:space="preserve">Trade openness as transition </w:t>
      </w:r>
      <w:bookmarkEnd w:id="103"/>
      <w:bookmarkEnd w:id="104"/>
      <w:r w:rsidR="001818B2" w:rsidRPr="000B3A8F">
        <w:rPr>
          <w:rFonts w:ascii="Times New Roman" w:hAnsi="Times New Roman" w:cs="Times New Roman"/>
          <w:b/>
          <w:color w:val="auto"/>
          <w:sz w:val="22"/>
          <w:szCs w:val="22"/>
        </w:rPr>
        <w:t>variable</w:t>
      </w:r>
    </w:p>
    <w:p w:rsidR="007F4307" w:rsidRPr="000B3A8F" w:rsidRDefault="008A4294" w:rsidP="000B3A8F">
      <w:pPr>
        <w:spacing w:line="340" w:lineRule="exact"/>
        <w:jc w:val="center"/>
        <w:rPr>
          <w:b/>
          <w:color w:val="000000" w:themeColor="text1"/>
          <w:sz w:val="22"/>
          <w:szCs w:val="22"/>
        </w:rPr>
      </w:pPr>
      <w:bookmarkStart w:id="105" w:name="OLE_LINK459"/>
      <w:bookmarkStart w:id="106" w:name="OLE_LINK474"/>
      <w:bookmarkStart w:id="107" w:name="OLE_LINK169"/>
      <w:bookmarkStart w:id="108" w:name="OLE_LINK170"/>
      <w:r w:rsidRPr="000B3A8F">
        <w:rPr>
          <w:b/>
          <w:color w:val="000000" w:themeColor="text1"/>
          <w:sz w:val="22"/>
          <w:szCs w:val="22"/>
        </w:rPr>
        <w:t>Table</w:t>
      </w:r>
      <w:r w:rsidR="007F4307" w:rsidRPr="000B3A8F">
        <w:rPr>
          <w:b/>
          <w:color w:val="000000" w:themeColor="text1"/>
          <w:sz w:val="22"/>
          <w:szCs w:val="22"/>
        </w:rPr>
        <w:t xml:space="preserve"> 4.23: </w:t>
      </w:r>
      <w:r w:rsidRPr="000B3A8F">
        <w:rPr>
          <w:b/>
          <w:color w:val="000000" w:themeColor="text1"/>
          <w:sz w:val="22"/>
          <w:szCs w:val="22"/>
        </w:rPr>
        <w:t xml:space="preserve">Results with Trade openness as transition </w:t>
      </w:r>
      <w:bookmarkEnd w:id="105"/>
      <w:bookmarkEnd w:id="106"/>
      <w:r w:rsidR="001818B2" w:rsidRPr="000B3A8F">
        <w:rPr>
          <w:b/>
          <w:color w:val="000000" w:themeColor="text1"/>
          <w:sz w:val="22"/>
          <w:szCs w:val="22"/>
        </w:rPr>
        <w:t>variable</w:t>
      </w:r>
    </w:p>
    <w:tbl>
      <w:tblPr>
        <w:tblW w:w="6210" w:type="dxa"/>
        <w:tblLayout w:type="fixed"/>
        <w:tblLook w:val="04A0" w:firstRow="1" w:lastRow="0" w:firstColumn="1" w:lastColumn="0" w:noHBand="0" w:noVBand="1"/>
      </w:tblPr>
      <w:tblGrid>
        <w:gridCol w:w="1170"/>
        <w:gridCol w:w="810"/>
        <w:gridCol w:w="630"/>
        <w:gridCol w:w="270"/>
        <w:gridCol w:w="1080"/>
        <w:gridCol w:w="630"/>
        <w:gridCol w:w="540"/>
        <w:gridCol w:w="180"/>
        <w:gridCol w:w="900"/>
      </w:tblGrid>
      <w:tr w:rsidR="00402D9F" w:rsidRPr="00356702" w:rsidTr="00356702">
        <w:trPr>
          <w:trHeight w:val="212"/>
        </w:trPr>
        <w:tc>
          <w:tcPr>
            <w:tcW w:w="1170" w:type="dxa"/>
            <w:tcBorders>
              <w:top w:val="double" w:sz="6" w:space="0" w:color="auto"/>
              <w:left w:val="nil"/>
              <w:bottom w:val="double" w:sz="6" w:space="0" w:color="auto"/>
              <w:right w:val="nil"/>
            </w:tcBorders>
            <w:shd w:val="clear" w:color="auto" w:fill="auto"/>
            <w:vAlign w:val="bottom"/>
            <w:hideMark/>
          </w:tcPr>
          <w:p w:rsidR="00402D9F" w:rsidRPr="00356702" w:rsidRDefault="00402D9F" w:rsidP="00356702">
            <w:pPr>
              <w:autoSpaceDE w:val="0"/>
              <w:autoSpaceDN w:val="0"/>
              <w:adjustRightInd w:val="0"/>
              <w:jc w:val="center"/>
              <w:rPr>
                <w:b/>
                <w:color w:val="000000" w:themeColor="text1"/>
                <w:sz w:val="20"/>
                <w:szCs w:val="20"/>
              </w:rPr>
            </w:pPr>
            <w:bookmarkStart w:id="109" w:name="_Hlk32236126"/>
            <w:r w:rsidRPr="00356702">
              <w:rPr>
                <w:b/>
                <w:color w:val="000000" w:themeColor="text1"/>
                <w:sz w:val="20"/>
                <w:szCs w:val="20"/>
              </w:rPr>
              <w:t>Variable</w:t>
            </w:r>
          </w:p>
        </w:tc>
        <w:tc>
          <w:tcPr>
            <w:tcW w:w="1440" w:type="dxa"/>
            <w:gridSpan w:val="2"/>
            <w:tcBorders>
              <w:top w:val="double" w:sz="6" w:space="0" w:color="auto"/>
              <w:left w:val="nil"/>
              <w:bottom w:val="double" w:sz="6" w:space="0" w:color="auto"/>
              <w:right w:val="nil"/>
            </w:tcBorders>
            <w:shd w:val="clear" w:color="auto" w:fill="auto"/>
            <w:vAlign w:val="bottom"/>
            <w:hideMark/>
          </w:tcPr>
          <w:p w:rsidR="00402D9F" w:rsidRPr="00356702" w:rsidRDefault="00402D9F" w:rsidP="00356702">
            <w:pPr>
              <w:autoSpaceDE w:val="0"/>
              <w:autoSpaceDN w:val="0"/>
              <w:adjustRightInd w:val="0"/>
              <w:ind w:right="10"/>
              <w:jc w:val="right"/>
              <w:rPr>
                <w:b/>
                <w:color w:val="000000" w:themeColor="text1"/>
                <w:sz w:val="20"/>
                <w:szCs w:val="20"/>
              </w:rPr>
            </w:pPr>
            <w:r w:rsidRPr="00356702">
              <w:rPr>
                <w:b/>
                <w:color w:val="000000" w:themeColor="text1"/>
                <w:sz w:val="20"/>
                <w:szCs w:val="20"/>
              </w:rPr>
              <w:t>Coefficient</w:t>
            </w:r>
          </w:p>
        </w:tc>
        <w:tc>
          <w:tcPr>
            <w:tcW w:w="1350" w:type="dxa"/>
            <w:gridSpan w:val="2"/>
            <w:tcBorders>
              <w:top w:val="double" w:sz="6" w:space="0" w:color="auto"/>
              <w:left w:val="nil"/>
              <w:bottom w:val="double" w:sz="6" w:space="0" w:color="auto"/>
              <w:right w:val="nil"/>
            </w:tcBorders>
            <w:shd w:val="clear" w:color="auto" w:fill="auto"/>
            <w:vAlign w:val="bottom"/>
            <w:hideMark/>
          </w:tcPr>
          <w:p w:rsidR="00402D9F" w:rsidRPr="00356702" w:rsidRDefault="00402D9F" w:rsidP="00356702">
            <w:pPr>
              <w:autoSpaceDE w:val="0"/>
              <w:autoSpaceDN w:val="0"/>
              <w:adjustRightInd w:val="0"/>
              <w:ind w:right="10"/>
              <w:jc w:val="right"/>
              <w:rPr>
                <w:b/>
                <w:color w:val="000000" w:themeColor="text1"/>
                <w:sz w:val="20"/>
                <w:szCs w:val="20"/>
              </w:rPr>
            </w:pPr>
            <w:r w:rsidRPr="00356702">
              <w:rPr>
                <w:b/>
                <w:color w:val="000000" w:themeColor="text1"/>
                <w:sz w:val="20"/>
                <w:szCs w:val="20"/>
              </w:rPr>
              <w:t>Std. Error</w:t>
            </w:r>
          </w:p>
        </w:tc>
        <w:tc>
          <w:tcPr>
            <w:tcW w:w="1170" w:type="dxa"/>
            <w:gridSpan w:val="2"/>
            <w:tcBorders>
              <w:top w:val="double" w:sz="6" w:space="0" w:color="auto"/>
              <w:left w:val="nil"/>
              <w:bottom w:val="double" w:sz="6" w:space="0" w:color="auto"/>
              <w:right w:val="nil"/>
            </w:tcBorders>
            <w:shd w:val="clear" w:color="auto" w:fill="auto"/>
            <w:vAlign w:val="bottom"/>
            <w:hideMark/>
          </w:tcPr>
          <w:p w:rsidR="00402D9F" w:rsidRPr="00356702" w:rsidRDefault="00402D9F" w:rsidP="00356702">
            <w:pPr>
              <w:autoSpaceDE w:val="0"/>
              <w:autoSpaceDN w:val="0"/>
              <w:adjustRightInd w:val="0"/>
              <w:ind w:right="10"/>
              <w:jc w:val="right"/>
              <w:rPr>
                <w:b/>
                <w:color w:val="000000" w:themeColor="text1"/>
                <w:sz w:val="20"/>
                <w:szCs w:val="20"/>
              </w:rPr>
            </w:pPr>
            <w:r w:rsidRPr="00356702">
              <w:rPr>
                <w:b/>
                <w:color w:val="000000" w:themeColor="text1"/>
                <w:sz w:val="20"/>
                <w:szCs w:val="20"/>
              </w:rPr>
              <w:t>t-Statistic</w:t>
            </w:r>
          </w:p>
        </w:tc>
        <w:tc>
          <w:tcPr>
            <w:tcW w:w="1080" w:type="dxa"/>
            <w:gridSpan w:val="2"/>
            <w:tcBorders>
              <w:top w:val="double" w:sz="6" w:space="0" w:color="auto"/>
              <w:left w:val="nil"/>
              <w:bottom w:val="double" w:sz="6" w:space="0" w:color="auto"/>
              <w:right w:val="nil"/>
            </w:tcBorders>
            <w:shd w:val="clear" w:color="auto" w:fill="auto"/>
            <w:vAlign w:val="bottom"/>
            <w:hideMark/>
          </w:tcPr>
          <w:p w:rsidR="00402D9F" w:rsidRPr="00356702" w:rsidRDefault="00402D9F" w:rsidP="00356702">
            <w:pPr>
              <w:autoSpaceDE w:val="0"/>
              <w:autoSpaceDN w:val="0"/>
              <w:adjustRightInd w:val="0"/>
              <w:ind w:right="10"/>
              <w:jc w:val="right"/>
              <w:rPr>
                <w:b/>
                <w:color w:val="000000" w:themeColor="text1"/>
                <w:sz w:val="20"/>
                <w:szCs w:val="20"/>
              </w:rPr>
            </w:pPr>
            <w:r w:rsidRPr="00356702">
              <w:rPr>
                <w:b/>
                <w:color w:val="000000" w:themeColor="text1"/>
                <w:sz w:val="20"/>
                <w:szCs w:val="20"/>
              </w:rPr>
              <w:t>Prob.  </w:t>
            </w:r>
          </w:p>
        </w:tc>
      </w:tr>
      <w:tr w:rsidR="002F0208" w:rsidRPr="00356702" w:rsidTr="00946192">
        <w:trPr>
          <w:trHeight w:val="173"/>
        </w:trPr>
        <w:tc>
          <w:tcPr>
            <w:tcW w:w="6210" w:type="dxa"/>
            <w:gridSpan w:val="9"/>
            <w:tcBorders>
              <w:top w:val="double" w:sz="6" w:space="0" w:color="auto"/>
              <w:left w:val="nil"/>
              <w:bottom w:val="double" w:sz="6" w:space="0" w:color="auto"/>
              <w:right w:val="nil"/>
            </w:tcBorders>
            <w:shd w:val="clear" w:color="auto" w:fill="auto"/>
            <w:vAlign w:val="center"/>
            <w:hideMark/>
          </w:tcPr>
          <w:p w:rsidR="007F4307" w:rsidRPr="00356702" w:rsidRDefault="00402D9F" w:rsidP="00356702">
            <w:pPr>
              <w:jc w:val="center"/>
              <w:rPr>
                <w:b/>
                <w:bCs/>
                <w:color w:val="000000" w:themeColor="text1"/>
                <w:sz w:val="20"/>
                <w:szCs w:val="20"/>
              </w:rPr>
            </w:pPr>
            <w:r w:rsidRPr="00356702">
              <w:rPr>
                <w:b/>
                <w:color w:val="000000" w:themeColor="text1"/>
                <w:sz w:val="20"/>
                <w:szCs w:val="20"/>
              </w:rPr>
              <w:t>Threshold Variables (linear part)</w:t>
            </w:r>
            <w:r w:rsidR="0087154C" w:rsidRPr="00356702">
              <w:rPr>
                <w:b/>
                <w:bCs/>
                <w:color w:val="000000" w:themeColor="text1"/>
                <w:sz w:val="20"/>
                <w:szCs w:val="20"/>
              </w:rPr>
              <w:t xml:space="preserve"> </w:t>
            </w:r>
            <w:r w:rsidR="007F4307" w:rsidRPr="00356702">
              <w:rPr>
                <w:b/>
                <w:bCs/>
                <w:color w:val="000000" w:themeColor="text1"/>
                <w:sz w:val="20"/>
                <w:szCs w:val="20"/>
              </w:rPr>
              <w:t>G=0</w:t>
            </w:r>
          </w:p>
        </w:tc>
      </w:tr>
      <w:tr w:rsidR="00580674" w:rsidRPr="00356702" w:rsidTr="00AE6BDB">
        <w:trPr>
          <w:trHeight w:val="182"/>
        </w:trPr>
        <w:tc>
          <w:tcPr>
            <w:tcW w:w="1170" w:type="dxa"/>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c</w:t>
            </w:r>
          </w:p>
        </w:tc>
        <w:tc>
          <w:tcPr>
            <w:tcW w:w="144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0,003</w:t>
            </w:r>
          </w:p>
        </w:tc>
        <w:tc>
          <w:tcPr>
            <w:tcW w:w="135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0,003</w:t>
            </w:r>
          </w:p>
        </w:tc>
        <w:tc>
          <w:tcPr>
            <w:tcW w:w="117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0,943</w:t>
            </w:r>
          </w:p>
        </w:tc>
        <w:tc>
          <w:tcPr>
            <w:tcW w:w="108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0,350</w:t>
            </w:r>
          </w:p>
        </w:tc>
      </w:tr>
      <w:tr w:rsidR="00580674" w:rsidRPr="00356702" w:rsidTr="00AE6BDB">
        <w:trPr>
          <w:trHeight w:val="173"/>
        </w:trPr>
        <w:tc>
          <w:tcPr>
            <w:tcW w:w="1170" w:type="dxa"/>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er</w:t>
            </w:r>
          </w:p>
        </w:tc>
        <w:tc>
          <w:tcPr>
            <w:tcW w:w="144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0,119</w:t>
            </w:r>
          </w:p>
        </w:tc>
        <w:tc>
          <w:tcPr>
            <w:tcW w:w="135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0,156</w:t>
            </w:r>
          </w:p>
        </w:tc>
        <w:tc>
          <w:tcPr>
            <w:tcW w:w="117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0,760</w:t>
            </w:r>
          </w:p>
        </w:tc>
        <w:tc>
          <w:tcPr>
            <w:tcW w:w="108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0,451</w:t>
            </w:r>
          </w:p>
        </w:tc>
      </w:tr>
      <w:tr w:rsidR="00580674" w:rsidRPr="00356702" w:rsidTr="00AE6BDB">
        <w:trPr>
          <w:trHeight w:val="173"/>
        </w:trPr>
        <w:tc>
          <w:tcPr>
            <w:tcW w:w="1170" w:type="dxa"/>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er(-1)</w:t>
            </w:r>
          </w:p>
        </w:tc>
        <w:tc>
          <w:tcPr>
            <w:tcW w:w="144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0,420</w:t>
            </w:r>
          </w:p>
        </w:tc>
        <w:tc>
          <w:tcPr>
            <w:tcW w:w="135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0,210</w:t>
            </w:r>
          </w:p>
        </w:tc>
        <w:tc>
          <w:tcPr>
            <w:tcW w:w="117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1,995</w:t>
            </w:r>
          </w:p>
        </w:tc>
        <w:tc>
          <w:tcPr>
            <w:tcW w:w="108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0,052</w:t>
            </w:r>
          </w:p>
        </w:tc>
      </w:tr>
      <w:tr w:rsidR="00580674" w:rsidRPr="00356702" w:rsidTr="00AE6BDB">
        <w:trPr>
          <w:trHeight w:val="173"/>
        </w:trPr>
        <w:tc>
          <w:tcPr>
            <w:tcW w:w="1170" w:type="dxa"/>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er(-2)</w:t>
            </w:r>
          </w:p>
        </w:tc>
        <w:tc>
          <w:tcPr>
            <w:tcW w:w="144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-0,226</w:t>
            </w:r>
          </w:p>
        </w:tc>
        <w:tc>
          <w:tcPr>
            <w:tcW w:w="135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0,157</w:t>
            </w:r>
          </w:p>
        </w:tc>
        <w:tc>
          <w:tcPr>
            <w:tcW w:w="117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-1,443</w:t>
            </w:r>
          </w:p>
        </w:tc>
        <w:tc>
          <w:tcPr>
            <w:tcW w:w="108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0,155</w:t>
            </w:r>
          </w:p>
        </w:tc>
      </w:tr>
      <w:tr w:rsidR="00580674" w:rsidRPr="00356702" w:rsidTr="00AE6BDB">
        <w:trPr>
          <w:trHeight w:val="173"/>
        </w:trPr>
        <w:tc>
          <w:tcPr>
            <w:tcW w:w="1170" w:type="dxa"/>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er(-3)</w:t>
            </w:r>
          </w:p>
        </w:tc>
        <w:tc>
          <w:tcPr>
            <w:tcW w:w="144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0,267</w:t>
            </w:r>
          </w:p>
        </w:tc>
        <w:tc>
          <w:tcPr>
            <w:tcW w:w="135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0,134</w:t>
            </w:r>
          </w:p>
        </w:tc>
        <w:tc>
          <w:tcPr>
            <w:tcW w:w="117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1,991</w:t>
            </w:r>
          </w:p>
        </w:tc>
        <w:tc>
          <w:tcPr>
            <w:tcW w:w="108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0,052</w:t>
            </w:r>
          </w:p>
        </w:tc>
      </w:tr>
      <w:tr w:rsidR="002F0208" w:rsidRPr="00356702" w:rsidTr="00946192">
        <w:trPr>
          <w:trHeight w:val="173"/>
        </w:trPr>
        <w:tc>
          <w:tcPr>
            <w:tcW w:w="6210" w:type="dxa"/>
            <w:gridSpan w:val="9"/>
            <w:tcBorders>
              <w:top w:val="double" w:sz="6" w:space="0" w:color="auto"/>
              <w:left w:val="nil"/>
              <w:bottom w:val="double" w:sz="6" w:space="0" w:color="auto"/>
              <w:right w:val="nil"/>
            </w:tcBorders>
            <w:shd w:val="clear" w:color="auto" w:fill="auto"/>
            <w:vAlign w:val="center"/>
            <w:hideMark/>
          </w:tcPr>
          <w:p w:rsidR="007F4307" w:rsidRPr="00356702" w:rsidRDefault="0087154C" w:rsidP="00356702">
            <w:pPr>
              <w:jc w:val="center"/>
              <w:rPr>
                <w:b/>
                <w:bCs/>
                <w:color w:val="000000" w:themeColor="text1"/>
                <w:sz w:val="20"/>
                <w:szCs w:val="20"/>
              </w:rPr>
            </w:pPr>
            <w:r w:rsidRPr="00356702">
              <w:rPr>
                <w:b/>
                <w:color w:val="000000" w:themeColor="text1"/>
                <w:sz w:val="20"/>
                <w:szCs w:val="20"/>
              </w:rPr>
              <w:t>Threshold Variables (nonlinear part)</w:t>
            </w:r>
            <w:r w:rsidRPr="00356702">
              <w:rPr>
                <w:b/>
                <w:bCs/>
                <w:color w:val="000000" w:themeColor="text1"/>
                <w:sz w:val="20"/>
                <w:szCs w:val="20"/>
              </w:rPr>
              <w:t xml:space="preserve"> </w:t>
            </w:r>
            <w:r w:rsidR="007F4307" w:rsidRPr="00356702">
              <w:rPr>
                <w:b/>
                <w:bCs/>
                <w:color w:val="000000" w:themeColor="text1"/>
                <w:sz w:val="20"/>
                <w:szCs w:val="20"/>
              </w:rPr>
              <w:t>G=1</w:t>
            </w:r>
          </w:p>
        </w:tc>
      </w:tr>
      <w:tr w:rsidR="00580674" w:rsidRPr="00356702" w:rsidTr="00AE6BDB">
        <w:trPr>
          <w:trHeight w:val="182"/>
        </w:trPr>
        <w:tc>
          <w:tcPr>
            <w:tcW w:w="1170" w:type="dxa"/>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c</w:t>
            </w:r>
          </w:p>
        </w:tc>
        <w:tc>
          <w:tcPr>
            <w:tcW w:w="144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0,008</w:t>
            </w:r>
          </w:p>
        </w:tc>
        <w:tc>
          <w:tcPr>
            <w:tcW w:w="135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0,005</w:t>
            </w:r>
          </w:p>
        </w:tc>
        <w:tc>
          <w:tcPr>
            <w:tcW w:w="117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1,589</w:t>
            </w:r>
          </w:p>
        </w:tc>
        <w:tc>
          <w:tcPr>
            <w:tcW w:w="108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0,118</w:t>
            </w:r>
          </w:p>
        </w:tc>
      </w:tr>
      <w:tr w:rsidR="00580674" w:rsidRPr="00356702" w:rsidTr="00AE6BDB">
        <w:trPr>
          <w:trHeight w:val="173"/>
        </w:trPr>
        <w:tc>
          <w:tcPr>
            <w:tcW w:w="1170" w:type="dxa"/>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er</w:t>
            </w:r>
          </w:p>
        </w:tc>
        <w:tc>
          <w:tcPr>
            <w:tcW w:w="144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-0,308</w:t>
            </w:r>
          </w:p>
        </w:tc>
        <w:tc>
          <w:tcPr>
            <w:tcW w:w="135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0,372</w:t>
            </w:r>
          </w:p>
        </w:tc>
        <w:tc>
          <w:tcPr>
            <w:tcW w:w="117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-0,828</w:t>
            </w:r>
          </w:p>
        </w:tc>
        <w:tc>
          <w:tcPr>
            <w:tcW w:w="108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0,412</w:t>
            </w:r>
          </w:p>
        </w:tc>
      </w:tr>
      <w:tr w:rsidR="00580674" w:rsidRPr="00356702" w:rsidTr="00AE6BDB">
        <w:trPr>
          <w:trHeight w:val="173"/>
        </w:trPr>
        <w:tc>
          <w:tcPr>
            <w:tcW w:w="1170" w:type="dxa"/>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er(-1)</w:t>
            </w:r>
          </w:p>
        </w:tc>
        <w:tc>
          <w:tcPr>
            <w:tcW w:w="144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-1,434</w:t>
            </w:r>
          </w:p>
        </w:tc>
        <w:tc>
          <w:tcPr>
            <w:tcW w:w="135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0,422</w:t>
            </w:r>
          </w:p>
        </w:tc>
        <w:tc>
          <w:tcPr>
            <w:tcW w:w="117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-3,396</w:t>
            </w:r>
          </w:p>
        </w:tc>
        <w:tc>
          <w:tcPr>
            <w:tcW w:w="108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0,001</w:t>
            </w:r>
          </w:p>
        </w:tc>
      </w:tr>
      <w:tr w:rsidR="00580674" w:rsidRPr="00356702" w:rsidTr="00AE6BDB">
        <w:trPr>
          <w:trHeight w:val="173"/>
        </w:trPr>
        <w:tc>
          <w:tcPr>
            <w:tcW w:w="1170" w:type="dxa"/>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er(-2)</w:t>
            </w:r>
          </w:p>
        </w:tc>
        <w:tc>
          <w:tcPr>
            <w:tcW w:w="144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-0,212</w:t>
            </w:r>
          </w:p>
        </w:tc>
        <w:tc>
          <w:tcPr>
            <w:tcW w:w="135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0,506</w:t>
            </w:r>
          </w:p>
        </w:tc>
        <w:tc>
          <w:tcPr>
            <w:tcW w:w="117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-0,418</w:t>
            </w:r>
          </w:p>
        </w:tc>
        <w:tc>
          <w:tcPr>
            <w:tcW w:w="108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0,677</w:t>
            </w:r>
          </w:p>
        </w:tc>
      </w:tr>
      <w:tr w:rsidR="00580674" w:rsidRPr="00356702" w:rsidTr="00AE6BDB">
        <w:trPr>
          <w:trHeight w:val="173"/>
        </w:trPr>
        <w:tc>
          <w:tcPr>
            <w:tcW w:w="1170" w:type="dxa"/>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er(-3)</w:t>
            </w:r>
          </w:p>
        </w:tc>
        <w:tc>
          <w:tcPr>
            <w:tcW w:w="144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0,473</w:t>
            </w:r>
          </w:p>
        </w:tc>
        <w:tc>
          <w:tcPr>
            <w:tcW w:w="135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0,519</w:t>
            </w:r>
          </w:p>
        </w:tc>
        <w:tc>
          <w:tcPr>
            <w:tcW w:w="117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0,912</w:t>
            </w:r>
          </w:p>
        </w:tc>
        <w:tc>
          <w:tcPr>
            <w:tcW w:w="108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0,366</w:t>
            </w:r>
          </w:p>
        </w:tc>
      </w:tr>
      <w:tr w:rsidR="002F0208" w:rsidRPr="00356702" w:rsidTr="00946192">
        <w:trPr>
          <w:trHeight w:val="173"/>
        </w:trPr>
        <w:tc>
          <w:tcPr>
            <w:tcW w:w="6210" w:type="dxa"/>
            <w:gridSpan w:val="9"/>
            <w:tcBorders>
              <w:top w:val="double" w:sz="6" w:space="0" w:color="auto"/>
              <w:left w:val="nil"/>
              <w:bottom w:val="double" w:sz="6" w:space="0" w:color="auto"/>
              <w:right w:val="nil"/>
            </w:tcBorders>
            <w:shd w:val="clear" w:color="auto" w:fill="auto"/>
            <w:vAlign w:val="center"/>
            <w:hideMark/>
          </w:tcPr>
          <w:p w:rsidR="007F4307" w:rsidRPr="00356702" w:rsidRDefault="0087154C" w:rsidP="00356702">
            <w:pPr>
              <w:jc w:val="center"/>
              <w:rPr>
                <w:b/>
                <w:bCs/>
                <w:color w:val="000000" w:themeColor="text1"/>
                <w:sz w:val="20"/>
                <w:szCs w:val="20"/>
              </w:rPr>
            </w:pPr>
            <w:r w:rsidRPr="00356702">
              <w:rPr>
                <w:b/>
                <w:color w:val="000000" w:themeColor="text1"/>
                <w:sz w:val="20"/>
                <w:szCs w:val="20"/>
              </w:rPr>
              <w:t>Non-Threshold Variables</w:t>
            </w:r>
          </w:p>
        </w:tc>
      </w:tr>
      <w:tr w:rsidR="00580674" w:rsidRPr="00356702" w:rsidTr="00AE6BDB">
        <w:trPr>
          <w:trHeight w:val="182"/>
        </w:trPr>
        <w:tc>
          <w:tcPr>
            <w:tcW w:w="1170" w:type="dxa"/>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inf_sa(-1)</w:t>
            </w:r>
          </w:p>
        </w:tc>
        <w:tc>
          <w:tcPr>
            <w:tcW w:w="144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0,992</w:t>
            </w:r>
          </w:p>
        </w:tc>
        <w:tc>
          <w:tcPr>
            <w:tcW w:w="135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0,135</w:t>
            </w:r>
          </w:p>
        </w:tc>
        <w:tc>
          <w:tcPr>
            <w:tcW w:w="117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7,342</w:t>
            </w:r>
          </w:p>
        </w:tc>
        <w:tc>
          <w:tcPr>
            <w:tcW w:w="108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0,000</w:t>
            </w:r>
          </w:p>
        </w:tc>
      </w:tr>
      <w:tr w:rsidR="00580674" w:rsidRPr="00356702" w:rsidTr="00AE6BDB">
        <w:trPr>
          <w:trHeight w:val="173"/>
        </w:trPr>
        <w:tc>
          <w:tcPr>
            <w:tcW w:w="1170" w:type="dxa"/>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inf_sa(-2)</w:t>
            </w:r>
          </w:p>
        </w:tc>
        <w:tc>
          <w:tcPr>
            <w:tcW w:w="144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-0,368</w:t>
            </w:r>
          </w:p>
        </w:tc>
        <w:tc>
          <w:tcPr>
            <w:tcW w:w="135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0,148</w:t>
            </w:r>
          </w:p>
        </w:tc>
        <w:tc>
          <w:tcPr>
            <w:tcW w:w="117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-2,489</w:t>
            </w:r>
          </w:p>
        </w:tc>
        <w:tc>
          <w:tcPr>
            <w:tcW w:w="108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0,016</w:t>
            </w:r>
          </w:p>
        </w:tc>
      </w:tr>
      <w:tr w:rsidR="00580674" w:rsidRPr="00356702" w:rsidTr="00AE6BDB">
        <w:trPr>
          <w:trHeight w:val="173"/>
        </w:trPr>
        <w:tc>
          <w:tcPr>
            <w:tcW w:w="1170" w:type="dxa"/>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imp</w:t>
            </w:r>
          </w:p>
        </w:tc>
        <w:tc>
          <w:tcPr>
            <w:tcW w:w="144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0,000</w:t>
            </w:r>
          </w:p>
        </w:tc>
        <w:tc>
          <w:tcPr>
            <w:tcW w:w="135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0,001</w:t>
            </w:r>
          </w:p>
        </w:tc>
        <w:tc>
          <w:tcPr>
            <w:tcW w:w="117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-0,076</w:t>
            </w:r>
          </w:p>
        </w:tc>
        <w:tc>
          <w:tcPr>
            <w:tcW w:w="108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0,940</w:t>
            </w:r>
          </w:p>
        </w:tc>
      </w:tr>
      <w:tr w:rsidR="00580674" w:rsidRPr="00356702" w:rsidTr="00AE6BDB">
        <w:trPr>
          <w:trHeight w:val="173"/>
        </w:trPr>
        <w:tc>
          <w:tcPr>
            <w:tcW w:w="1170" w:type="dxa"/>
            <w:tcBorders>
              <w:top w:val="nil"/>
              <w:left w:val="nil"/>
              <w:bottom w:val="nil"/>
              <w:right w:val="nil"/>
            </w:tcBorders>
            <w:shd w:val="clear" w:color="auto" w:fill="auto"/>
            <w:vAlign w:val="center"/>
          </w:tcPr>
          <w:p w:rsidR="00580674" w:rsidRPr="00356702" w:rsidRDefault="00580674" w:rsidP="00356702">
            <w:pPr>
              <w:rPr>
                <w:color w:val="000000" w:themeColor="text1"/>
                <w:sz w:val="20"/>
                <w:szCs w:val="20"/>
              </w:rPr>
            </w:pPr>
            <w:r w:rsidRPr="00356702">
              <w:rPr>
                <w:color w:val="000000" w:themeColor="text1"/>
                <w:sz w:val="20"/>
                <w:szCs w:val="20"/>
              </w:rPr>
              <w:t>opg</w:t>
            </w:r>
          </w:p>
        </w:tc>
        <w:tc>
          <w:tcPr>
            <w:tcW w:w="1440" w:type="dxa"/>
            <w:gridSpan w:val="2"/>
            <w:tcBorders>
              <w:top w:val="nil"/>
              <w:left w:val="nil"/>
              <w:bottom w:val="nil"/>
              <w:right w:val="nil"/>
            </w:tcBorders>
            <w:shd w:val="clear" w:color="auto" w:fill="auto"/>
            <w:vAlign w:val="bottom"/>
          </w:tcPr>
          <w:p w:rsidR="00580674" w:rsidRPr="00356702" w:rsidRDefault="00580674" w:rsidP="00356702">
            <w:pPr>
              <w:jc w:val="right"/>
              <w:rPr>
                <w:color w:val="000000" w:themeColor="text1"/>
                <w:sz w:val="20"/>
                <w:szCs w:val="20"/>
              </w:rPr>
            </w:pPr>
            <w:r w:rsidRPr="00356702">
              <w:rPr>
                <w:color w:val="000000"/>
                <w:sz w:val="20"/>
                <w:szCs w:val="20"/>
              </w:rPr>
              <w:t>0,002</w:t>
            </w:r>
          </w:p>
        </w:tc>
        <w:tc>
          <w:tcPr>
            <w:tcW w:w="1350" w:type="dxa"/>
            <w:gridSpan w:val="2"/>
            <w:tcBorders>
              <w:top w:val="nil"/>
              <w:left w:val="nil"/>
              <w:bottom w:val="nil"/>
              <w:right w:val="nil"/>
            </w:tcBorders>
            <w:shd w:val="clear" w:color="auto" w:fill="auto"/>
            <w:vAlign w:val="bottom"/>
          </w:tcPr>
          <w:p w:rsidR="00580674" w:rsidRPr="00356702" w:rsidRDefault="00580674" w:rsidP="00356702">
            <w:pPr>
              <w:jc w:val="right"/>
              <w:rPr>
                <w:color w:val="000000" w:themeColor="text1"/>
                <w:sz w:val="20"/>
                <w:szCs w:val="20"/>
              </w:rPr>
            </w:pPr>
            <w:r w:rsidRPr="00356702">
              <w:rPr>
                <w:color w:val="000000"/>
                <w:sz w:val="20"/>
                <w:szCs w:val="20"/>
              </w:rPr>
              <w:t>0,001</w:t>
            </w:r>
          </w:p>
        </w:tc>
        <w:tc>
          <w:tcPr>
            <w:tcW w:w="1170" w:type="dxa"/>
            <w:gridSpan w:val="2"/>
            <w:tcBorders>
              <w:top w:val="nil"/>
              <w:left w:val="nil"/>
              <w:bottom w:val="nil"/>
              <w:right w:val="nil"/>
            </w:tcBorders>
            <w:shd w:val="clear" w:color="auto" w:fill="auto"/>
            <w:vAlign w:val="bottom"/>
          </w:tcPr>
          <w:p w:rsidR="00580674" w:rsidRPr="00356702" w:rsidRDefault="00580674" w:rsidP="00356702">
            <w:pPr>
              <w:jc w:val="right"/>
              <w:rPr>
                <w:color w:val="000000" w:themeColor="text1"/>
                <w:sz w:val="20"/>
                <w:szCs w:val="20"/>
              </w:rPr>
            </w:pPr>
            <w:r w:rsidRPr="00356702">
              <w:rPr>
                <w:color w:val="000000"/>
                <w:sz w:val="20"/>
                <w:szCs w:val="20"/>
              </w:rPr>
              <w:t>2,025</w:t>
            </w:r>
          </w:p>
        </w:tc>
        <w:tc>
          <w:tcPr>
            <w:tcW w:w="1080" w:type="dxa"/>
            <w:gridSpan w:val="2"/>
            <w:tcBorders>
              <w:top w:val="nil"/>
              <w:left w:val="nil"/>
              <w:bottom w:val="nil"/>
              <w:right w:val="nil"/>
            </w:tcBorders>
            <w:shd w:val="clear" w:color="auto" w:fill="auto"/>
            <w:vAlign w:val="bottom"/>
          </w:tcPr>
          <w:p w:rsidR="00580674" w:rsidRPr="00356702" w:rsidRDefault="00580674" w:rsidP="00356702">
            <w:pPr>
              <w:jc w:val="right"/>
              <w:rPr>
                <w:color w:val="000000" w:themeColor="text1"/>
                <w:sz w:val="20"/>
                <w:szCs w:val="20"/>
              </w:rPr>
            </w:pPr>
            <w:r w:rsidRPr="00356702">
              <w:rPr>
                <w:color w:val="000000"/>
                <w:sz w:val="20"/>
                <w:szCs w:val="20"/>
              </w:rPr>
              <w:t>0,048</w:t>
            </w:r>
          </w:p>
        </w:tc>
      </w:tr>
      <w:tr w:rsidR="00580674" w:rsidRPr="00356702" w:rsidTr="00AE6BDB">
        <w:trPr>
          <w:trHeight w:val="182"/>
        </w:trPr>
        <w:tc>
          <w:tcPr>
            <w:tcW w:w="1170" w:type="dxa"/>
            <w:tcBorders>
              <w:top w:val="nil"/>
              <w:left w:val="nil"/>
              <w:bottom w:val="double" w:sz="6" w:space="0" w:color="auto"/>
              <w:right w:val="nil"/>
            </w:tcBorders>
            <w:shd w:val="clear" w:color="auto" w:fill="auto"/>
            <w:vAlign w:val="center"/>
            <w:hideMark/>
          </w:tcPr>
          <w:p w:rsidR="00580674" w:rsidRPr="00356702" w:rsidRDefault="00580674" w:rsidP="00356702">
            <w:pPr>
              <w:rPr>
                <w:color w:val="000000" w:themeColor="text1"/>
                <w:sz w:val="20"/>
                <w:szCs w:val="20"/>
              </w:rPr>
            </w:pPr>
            <w:bookmarkStart w:id="110" w:name="OLE_LINK1105"/>
            <w:bookmarkStart w:id="111" w:name="OLE_LINK1106"/>
            <w:r w:rsidRPr="00356702">
              <w:rPr>
                <w:color w:val="000000" w:themeColor="text1"/>
                <w:sz w:val="20"/>
                <w:szCs w:val="20"/>
              </w:rPr>
              <w:t>opg</w:t>
            </w:r>
            <w:bookmarkEnd w:id="110"/>
            <w:bookmarkEnd w:id="111"/>
            <w:r w:rsidRPr="00356702">
              <w:rPr>
                <w:color w:val="000000" w:themeColor="text1"/>
                <w:sz w:val="20"/>
                <w:szCs w:val="20"/>
              </w:rPr>
              <w:t>(-1)</w:t>
            </w:r>
          </w:p>
        </w:tc>
        <w:tc>
          <w:tcPr>
            <w:tcW w:w="1440" w:type="dxa"/>
            <w:gridSpan w:val="2"/>
            <w:tcBorders>
              <w:top w:val="nil"/>
              <w:left w:val="nil"/>
              <w:bottom w:val="double" w:sz="6" w:space="0" w:color="auto"/>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-0,040</w:t>
            </w:r>
          </w:p>
        </w:tc>
        <w:tc>
          <w:tcPr>
            <w:tcW w:w="1350" w:type="dxa"/>
            <w:gridSpan w:val="2"/>
            <w:tcBorders>
              <w:top w:val="nil"/>
              <w:left w:val="nil"/>
              <w:bottom w:val="double" w:sz="6" w:space="0" w:color="auto"/>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0,048</w:t>
            </w:r>
          </w:p>
        </w:tc>
        <w:tc>
          <w:tcPr>
            <w:tcW w:w="1170" w:type="dxa"/>
            <w:gridSpan w:val="2"/>
            <w:tcBorders>
              <w:top w:val="nil"/>
              <w:left w:val="nil"/>
              <w:bottom w:val="double" w:sz="6" w:space="0" w:color="auto"/>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-0,844</w:t>
            </w:r>
          </w:p>
        </w:tc>
        <w:tc>
          <w:tcPr>
            <w:tcW w:w="1080" w:type="dxa"/>
            <w:gridSpan w:val="2"/>
            <w:tcBorders>
              <w:top w:val="nil"/>
              <w:left w:val="nil"/>
              <w:bottom w:val="double" w:sz="6" w:space="0" w:color="auto"/>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0,403</w:t>
            </w:r>
          </w:p>
        </w:tc>
      </w:tr>
      <w:tr w:rsidR="002F0208" w:rsidRPr="00356702" w:rsidTr="008A4294">
        <w:trPr>
          <w:trHeight w:val="173"/>
        </w:trPr>
        <w:tc>
          <w:tcPr>
            <w:tcW w:w="6210" w:type="dxa"/>
            <w:gridSpan w:val="9"/>
            <w:tcBorders>
              <w:top w:val="nil"/>
              <w:left w:val="nil"/>
              <w:bottom w:val="single" w:sz="4" w:space="0" w:color="auto"/>
              <w:right w:val="nil"/>
            </w:tcBorders>
            <w:shd w:val="clear" w:color="auto" w:fill="auto"/>
            <w:vAlign w:val="center"/>
            <w:hideMark/>
          </w:tcPr>
          <w:p w:rsidR="007F4307" w:rsidRPr="00356702" w:rsidRDefault="0087154C" w:rsidP="00356702">
            <w:pPr>
              <w:jc w:val="center"/>
              <w:rPr>
                <w:b/>
                <w:bCs/>
                <w:color w:val="000000" w:themeColor="text1"/>
                <w:sz w:val="20"/>
                <w:szCs w:val="20"/>
              </w:rPr>
            </w:pPr>
            <w:bookmarkStart w:id="112" w:name="OLE_LINK980"/>
            <w:bookmarkStart w:id="113" w:name="OLE_LINK981"/>
            <w:r w:rsidRPr="00356702">
              <w:rPr>
                <w:b/>
                <w:color w:val="000000" w:themeColor="text1"/>
                <w:sz w:val="20"/>
                <w:szCs w:val="20"/>
              </w:rPr>
              <w:t>Slopes</w:t>
            </w:r>
            <w:bookmarkEnd w:id="112"/>
            <w:bookmarkEnd w:id="113"/>
          </w:p>
        </w:tc>
      </w:tr>
      <w:tr w:rsidR="00580674" w:rsidRPr="00356702" w:rsidTr="00AE6BDB">
        <w:trPr>
          <w:trHeight w:val="190"/>
        </w:trPr>
        <w:tc>
          <w:tcPr>
            <w:tcW w:w="1170" w:type="dxa"/>
            <w:tcBorders>
              <w:top w:val="single" w:sz="4" w:space="0" w:color="auto"/>
              <w:left w:val="nil"/>
              <w:bottom w:val="double" w:sz="6" w:space="0" w:color="auto"/>
              <w:right w:val="nil"/>
            </w:tcBorders>
            <w:shd w:val="clear" w:color="auto" w:fill="auto"/>
            <w:vAlign w:val="center"/>
            <w:hideMark/>
          </w:tcPr>
          <w:p w:rsidR="00580674" w:rsidRPr="00356702" w:rsidRDefault="00580674" w:rsidP="00356702">
            <w:pPr>
              <w:jc w:val="center"/>
              <w:rPr>
                <w:color w:val="000000" w:themeColor="text1"/>
                <w:sz w:val="20"/>
                <w:szCs w:val="20"/>
              </w:rPr>
            </w:pPr>
            <w:r w:rsidRPr="00356702">
              <w:rPr>
                <w:color w:val="000000" w:themeColor="text1"/>
                <w:sz w:val="20"/>
                <w:szCs w:val="20"/>
              </w:rPr>
              <w:t>Slope</w:t>
            </w:r>
          </w:p>
        </w:tc>
        <w:tc>
          <w:tcPr>
            <w:tcW w:w="1440" w:type="dxa"/>
            <w:gridSpan w:val="2"/>
            <w:tcBorders>
              <w:top w:val="single" w:sz="4" w:space="0" w:color="auto"/>
              <w:left w:val="nil"/>
              <w:bottom w:val="double" w:sz="6" w:space="0" w:color="auto"/>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915.061</w:t>
            </w:r>
          </w:p>
        </w:tc>
        <w:tc>
          <w:tcPr>
            <w:tcW w:w="1350" w:type="dxa"/>
            <w:gridSpan w:val="2"/>
            <w:tcBorders>
              <w:top w:val="single" w:sz="4" w:space="0" w:color="auto"/>
              <w:left w:val="nil"/>
              <w:bottom w:val="double" w:sz="6" w:space="0" w:color="auto"/>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1436.498</w:t>
            </w:r>
          </w:p>
        </w:tc>
        <w:tc>
          <w:tcPr>
            <w:tcW w:w="1170" w:type="dxa"/>
            <w:gridSpan w:val="2"/>
            <w:tcBorders>
              <w:top w:val="single" w:sz="4" w:space="0" w:color="auto"/>
              <w:left w:val="nil"/>
              <w:bottom w:val="double" w:sz="6" w:space="0" w:color="auto"/>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0.637</w:t>
            </w:r>
          </w:p>
        </w:tc>
        <w:tc>
          <w:tcPr>
            <w:tcW w:w="1080" w:type="dxa"/>
            <w:gridSpan w:val="2"/>
            <w:tcBorders>
              <w:top w:val="single" w:sz="4" w:space="0" w:color="auto"/>
              <w:left w:val="nil"/>
              <w:bottom w:val="double" w:sz="6" w:space="0" w:color="auto"/>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0.527</w:t>
            </w:r>
          </w:p>
        </w:tc>
      </w:tr>
      <w:tr w:rsidR="002F0208" w:rsidRPr="00356702" w:rsidTr="00946192">
        <w:trPr>
          <w:trHeight w:val="173"/>
        </w:trPr>
        <w:tc>
          <w:tcPr>
            <w:tcW w:w="6210" w:type="dxa"/>
            <w:gridSpan w:val="9"/>
            <w:tcBorders>
              <w:top w:val="double" w:sz="6" w:space="0" w:color="auto"/>
              <w:left w:val="nil"/>
              <w:bottom w:val="double" w:sz="6" w:space="0" w:color="auto"/>
              <w:right w:val="nil"/>
            </w:tcBorders>
            <w:shd w:val="clear" w:color="auto" w:fill="auto"/>
            <w:vAlign w:val="center"/>
            <w:hideMark/>
          </w:tcPr>
          <w:p w:rsidR="007F4307" w:rsidRPr="00356702" w:rsidRDefault="0087154C" w:rsidP="00356702">
            <w:pPr>
              <w:jc w:val="center"/>
              <w:rPr>
                <w:b/>
                <w:bCs/>
                <w:color w:val="000000" w:themeColor="text1"/>
                <w:sz w:val="20"/>
                <w:szCs w:val="20"/>
              </w:rPr>
            </w:pPr>
            <w:r w:rsidRPr="00356702">
              <w:rPr>
                <w:b/>
                <w:color w:val="000000" w:themeColor="text1"/>
                <w:sz w:val="20"/>
                <w:szCs w:val="20"/>
              </w:rPr>
              <w:t>Thresholds</w:t>
            </w:r>
          </w:p>
        </w:tc>
      </w:tr>
      <w:tr w:rsidR="00580674" w:rsidRPr="00356702" w:rsidTr="005F0EDF">
        <w:trPr>
          <w:trHeight w:val="230"/>
        </w:trPr>
        <w:tc>
          <w:tcPr>
            <w:tcW w:w="1170" w:type="dxa"/>
            <w:tcBorders>
              <w:top w:val="double" w:sz="6" w:space="0" w:color="auto"/>
              <w:left w:val="nil"/>
              <w:bottom w:val="double" w:sz="6" w:space="0" w:color="auto"/>
              <w:right w:val="nil"/>
            </w:tcBorders>
            <w:shd w:val="clear" w:color="auto" w:fill="auto"/>
            <w:vAlign w:val="center"/>
            <w:hideMark/>
          </w:tcPr>
          <w:p w:rsidR="00580674" w:rsidRPr="00356702" w:rsidRDefault="00580674" w:rsidP="00356702">
            <w:pPr>
              <w:jc w:val="center"/>
              <w:rPr>
                <w:color w:val="000000" w:themeColor="text1"/>
                <w:sz w:val="20"/>
                <w:szCs w:val="20"/>
              </w:rPr>
            </w:pPr>
            <w:r w:rsidRPr="00356702">
              <w:rPr>
                <w:color w:val="000000" w:themeColor="text1"/>
                <w:sz w:val="20"/>
                <w:szCs w:val="20"/>
              </w:rPr>
              <w:t>Threshold</w:t>
            </w:r>
          </w:p>
        </w:tc>
        <w:tc>
          <w:tcPr>
            <w:tcW w:w="1440" w:type="dxa"/>
            <w:gridSpan w:val="2"/>
            <w:tcBorders>
              <w:top w:val="double" w:sz="6" w:space="0" w:color="auto"/>
              <w:left w:val="nil"/>
              <w:bottom w:val="double" w:sz="6" w:space="0" w:color="auto"/>
              <w:right w:val="nil"/>
            </w:tcBorders>
            <w:shd w:val="clear" w:color="auto" w:fill="auto"/>
            <w:vAlign w:val="center"/>
            <w:hideMark/>
          </w:tcPr>
          <w:p w:rsidR="00580674" w:rsidRPr="00356702" w:rsidRDefault="00580674" w:rsidP="00356702">
            <w:pPr>
              <w:jc w:val="right"/>
              <w:rPr>
                <w:color w:val="000000" w:themeColor="text1"/>
                <w:sz w:val="20"/>
                <w:szCs w:val="20"/>
              </w:rPr>
            </w:pPr>
            <w:r w:rsidRPr="00356702">
              <w:rPr>
                <w:color w:val="000000"/>
                <w:sz w:val="20"/>
                <w:szCs w:val="20"/>
              </w:rPr>
              <w:t>0,017</w:t>
            </w:r>
          </w:p>
        </w:tc>
        <w:tc>
          <w:tcPr>
            <w:tcW w:w="1350" w:type="dxa"/>
            <w:gridSpan w:val="2"/>
            <w:tcBorders>
              <w:top w:val="double" w:sz="6" w:space="0" w:color="auto"/>
              <w:left w:val="nil"/>
              <w:bottom w:val="double" w:sz="6" w:space="0" w:color="auto"/>
              <w:right w:val="nil"/>
            </w:tcBorders>
            <w:shd w:val="clear" w:color="auto" w:fill="auto"/>
            <w:vAlign w:val="center"/>
            <w:hideMark/>
          </w:tcPr>
          <w:p w:rsidR="00580674" w:rsidRPr="00356702" w:rsidRDefault="00580674" w:rsidP="00356702">
            <w:pPr>
              <w:jc w:val="right"/>
              <w:rPr>
                <w:color w:val="000000" w:themeColor="text1"/>
                <w:sz w:val="20"/>
                <w:szCs w:val="20"/>
              </w:rPr>
            </w:pPr>
            <w:r w:rsidRPr="00356702">
              <w:rPr>
                <w:color w:val="000000"/>
                <w:sz w:val="20"/>
                <w:szCs w:val="20"/>
              </w:rPr>
              <w:t>0,002</w:t>
            </w:r>
          </w:p>
        </w:tc>
        <w:tc>
          <w:tcPr>
            <w:tcW w:w="1170" w:type="dxa"/>
            <w:gridSpan w:val="2"/>
            <w:tcBorders>
              <w:top w:val="double" w:sz="6" w:space="0" w:color="auto"/>
              <w:left w:val="nil"/>
              <w:bottom w:val="double" w:sz="6" w:space="0" w:color="auto"/>
              <w:right w:val="nil"/>
            </w:tcBorders>
            <w:shd w:val="clear" w:color="auto" w:fill="auto"/>
            <w:vAlign w:val="center"/>
            <w:hideMark/>
          </w:tcPr>
          <w:p w:rsidR="00580674" w:rsidRPr="00356702" w:rsidRDefault="00580674" w:rsidP="00356702">
            <w:pPr>
              <w:jc w:val="right"/>
              <w:rPr>
                <w:color w:val="000000" w:themeColor="text1"/>
                <w:sz w:val="20"/>
                <w:szCs w:val="20"/>
              </w:rPr>
            </w:pPr>
            <w:r w:rsidRPr="00356702">
              <w:rPr>
                <w:color w:val="000000"/>
                <w:sz w:val="20"/>
                <w:szCs w:val="20"/>
              </w:rPr>
              <w:t>9,755</w:t>
            </w:r>
          </w:p>
        </w:tc>
        <w:tc>
          <w:tcPr>
            <w:tcW w:w="1080" w:type="dxa"/>
            <w:gridSpan w:val="2"/>
            <w:tcBorders>
              <w:top w:val="double" w:sz="6" w:space="0" w:color="auto"/>
              <w:left w:val="nil"/>
              <w:bottom w:val="double" w:sz="6" w:space="0" w:color="auto"/>
              <w:right w:val="nil"/>
            </w:tcBorders>
            <w:shd w:val="clear" w:color="auto" w:fill="auto"/>
            <w:vAlign w:val="center"/>
            <w:hideMark/>
          </w:tcPr>
          <w:p w:rsidR="00580674" w:rsidRPr="00356702" w:rsidRDefault="00580674" w:rsidP="00356702">
            <w:pPr>
              <w:jc w:val="right"/>
              <w:rPr>
                <w:color w:val="000000" w:themeColor="text1"/>
                <w:sz w:val="20"/>
                <w:szCs w:val="20"/>
              </w:rPr>
            </w:pPr>
            <w:r w:rsidRPr="00356702">
              <w:rPr>
                <w:color w:val="000000"/>
                <w:sz w:val="20"/>
                <w:szCs w:val="20"/>
              </w:rPr>
              <w:t>0,000</w:t>
            </w:r>
          </w:p>
        </w:tc>
      </w:tr>
      <w:bookmarkEnd w:id="109"/>
      <w:tr w:rsidR="00580674" w:rsidRPr="00356702" w:rsidTr="00AE6BDB">
        <w:trPr>
          <w:trHeight w:val="173"/>
        </w:trPr>
        <w:tc>
          <w:tcPr>
            <w:tcW w:w="1980" w:type="dxa"/>
            <w:gridSpan w:val="2"/>
            <w:tcBorders>
              <w:top w:val="double" w:sz="6" w:space="0" w:color="auto"/>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R-squared</w:t>
            </w:r>
          </w:p>
        </w:tc>
        <w:tc>
          <w:tcPr>
            <w:tcW w:w="900" w:type="dxa"/>
            <w:gridSpan w:val="2"/>
            <w:tcBorders>
              <w:top w:val="double" w:sz="6" w:space="0" w:color="auto"/>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0,772</w:t>
            </w:r>
          </w:p>
        </w:tc>
        <w:tc>
          <w:tcPr>
            <w:tcW w:w="2430" w:type="dxa"/>
            <w:gridSpan w:val="4"/>
            <w:tcBorders>
              <w:top w:val="double" w:sz="6" w:space="0" w:color="auto"/>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    Mean dependent var</w:t>
            </w:r>
          </w:p>
        </w:tc>
        <w:tc>
          <w:tcPr>
            <w:tcW w:w="900" w:type="dxa"/>
            <w:tcBorders>
              <w:top w:val="double" w:sz="6" w:space="0" w:color="auto"/>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0,018</w:t>
            </w:r>
          </w:p>
        </w:tc>
      </w:tr>
      <w:tr w:rsidR="00580674" w:rsidRPr="00356702" w:rsidTr="00AE6BDB">
        <w:trPr>
          <w:trHeight w:val="173"/>
        </w:trPr>
        <w:tc>
          <w:tcPr>
            <w:tcW w:w="1980" w:type="dxa"/>
            <w:gridSpan w:val="2"/>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Adjusted R-squared</w:t>
            </w:r>
          </w:p>
        </w:tc>
        <w:tc>
          <w:tcPr>
            <w:tcW w:w="90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0,699</w:t>
            </w:r>
          </w:p>
        </w:tc>
        <w:tc>
          <w:tcPr>
            <w:tcW w:w="2430" w:type="dxa"/>
            <w:gridSpan w:val="4"/>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    S.D. dependent var</w:t>
            </w:r>
          </w:p>
        </w:tc>
        <w:tc>
          <w:tcPr>
            <w:tcW w:w="900" w:type="dxa"/>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0,017</w:t>
            </w:r>
          </w:p>
        </w:tc>
      </w:tr>
      <w:tr w:rsidR="00580674" w:rsidRPr="00356702" w:rsidTr="00AE6BDB">
        <w:trPr>
          <w:trHeight w:val="173"/>
        </w:trPr>
        <w:tc>
          <w:tcPr>
            <w:tcW w:w="1980" w:type="dxa"/>
            <w:gridSpan w:val="2"/>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S.E. of regression</w:t>
            </w:r>
          </w:p>
        </w:tc>
        <w:tc>
          <w:tcPr>
            <w:tcW w:w="90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0,009</w:t>
            </w:r>
          </w:p>
        </w:tc>
        <w:tc>
          <w:tcPr>
            <w:tcW w:w="2430" w:type="dxa"/>
            <w:gridSpan w:val="4"/>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    Akaike info criterion</w:t>
            </w:r>
          </w:p>
        </w:tc>
        <w:tc>
          <w:tcPr>
            <w:tcW w:w="900" w:type="dxa"/>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-6,300</w:t>
            </w:r>
          </w:p>
        </w:tc>
      </w:tr>
      <w:tr w:rsidR="00580674" w:rsidRPr="00356702" w:rsidTr="00AE6BDB">
        <w:trPr>
          <w:trHeight w:val="173"/>
        </w:trPr>
        <w:tc>
          <w:tcPr>
            <w:tcW w:w="1980" w:type="dxa"/>
            <w:gridSpan w:val="2"/>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Sum squared resid</w:t>
            </w:r>
          </w:p>
        </w:tc>
        <w:tc>
          <w:tcPr>
            <w:tcW w:w="90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0,004</w:t>
            </w:r>
          </w:p>
        </w:tc>
        <w:tc>
          <w:tcPr>
            <w:tcW w:w="2430" w:type="dxa"/>
            <w:gridSpan w:val="4"/>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    Schwarz criterion</w:t>
            </w:r>
          </w:p>
        </w:tc>
        <w:tc>
          <w:tcPr>
            <w:tcW w:w="900" w:type="dxa"/>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-5,741</w:t>
            </w:r>
          </w:p>
        </w:tc>
      </w:tr>
      <w:tr w:rsidR="00580674" w:rsidRPr="00356702" w:rsidTr="00AE6BDB">
        <w:trPr>
          <w:trHeight w:val="173"/>
        </w:trPr>
        <w:tc>
          <w:tcPr>
            <w:tcW w:w="1980" w:type="dxa"/>
            <w:gridSpan w:val="2"/>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Log likelihood</w:t>
            </w:r>
          </w:p>
        </w:tc>
        <w:tc>
          <w:tcPr>
            <w:tcW w:w="90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228,066</w:t>
            </w:r>
          </w:p>
        </w:tc>
        <w:tc>
          <w:tcPr>
            <w:tcW w:w="2430" w:type="dxa"/>
            <w:gridSpan w:val="4"/>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    Hannan-Quinn criter.</w:t>
            </w:r>
          </w:p>
        </w:tc>
        <w:tc>
          <w:tcPr>
            <w:tcW w:w="900" w:type="dxa"/>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-6,079</w:t>
            </w:r>
          </w:p>
        </w:tc>
      </w:tr>
      <w:tr w:rsidR="00580674" w:rsidRPr="00356702" w:rsidTr="00AE6BDB">
        <w:trPr>
          <w:trHeight w:val="173"/>
        </w:trPr>
        <w:tc>
          <w:tcPr>
            <w:tcW w:w="1980" w:type="dxa"/>
            <w:gridSpan w:val="2"/>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F-statistic</w:t>
            </w:r>
          </w:p>
        </w:tc>
        <w:tc>
          <w:tcPr>
            <w:tcW w:w="900" w:type="dxa"/>
            <w:gridSpan w:val="2"/>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10,567</w:t>
            </w:r>
          </w:p>
        </w:tc>
        <w:tc>
          <w:tcPr>
            <w:tcW w:w="2430" w:type="dxa"/>
            <w:gridSpan w:val="4"/>
            <w:tcBorders>
              <w:top w:val="nil"/>
              <w:left w:val="nil"/>
              <w:bottom w:val="nil"/>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    Durbin-Watson stat</w:t>
            </w:r>
          </w:p>
        </w:tc>
        <w:tc>
          <w:tcPr>
            <w:tcW w:w="900" w:type="dxa"/>
            <w:tcBorders>
              <w:top w:val="nil"/>
              <w:left w:val="nil"/>
              <w:bottom w:val="nil"/>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1,649</w:t>
            </w:r>
          </w:p>
        </w:tc>
      </w:tr>
      <w:tr w:rsidR="00580674" w:rsidRPr="00356702" w:rsidTr="00AE6BDB">
        <w:trPr>
          <w:trHeight w:val="182"/>
        </w:trPr>
        <w:tc>
          <w:tcPr>
            <w:tcW w:w="1980" w:type="dxa"/>
            <w:gridSpan w:val="2"/>
            <w:tcBorders>
              <w:top w:val="nil"/>
              <w:left w:val="nil"/>
              <w:bottom w:val="double" w:sz="6" w:space="0" w:color="auto"/>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Prob(F-statistic)</w:t>
            </w:r>
          </w:p>
        </w:tc>
        <w:tc>
          <w:tcPr>
            <w:tcW w:w="900" w:type="dxa"/>
            <w:gridSpan w:val="2"/>
            <w:tcBorders>
              <w:top w:val="nil"/>
              <w:left w:val="nil"/>
              <w:bottom w:val="double" w:sz="6" w:space="0" w:color="auto"/>
              <w:right w:val="nil"/>
            </w:tcBorders>
            <w:shd w:val="clear" w:color="auto" w:fill="auto"/>
            <w:vAlign w:val="bottom"/>
            <w:hideMark/>
          </w:tcPr>
          <w:p w:rsidR="00580674" w:rsidRPr="00356702" w:rsidRDefault="00580674" w:rsidP="00356702">
            <w:pPr>
              <w:jc w:val="right"/>
              <w:rPr>
                <w:color w:val="000000" w:themeColor="text1"/>
                <w:sz w:val="20"/>
                <w:szCs w:val="20"/>
              </w:rPr>
            </w:pPr>
            <w:r w:rsidRPr="00356702">
              <w:rPr>
                <w:color w:val="000000"/>
                <w:sz w:val="20"/>
                <w:szCs w:val="20"/>
              </w:rPr>
              <w:t>0,000</w:t>
            </w:r>
          </w:p>
        </w:tc>
        <w:tc>
          <w:tcPr>
            <w:tcW w:w="1710" w:type="dxa"/>
            <w:gridSpan w:val="2"/>
            <w:tcBorders>
              <w:top w:val="nil"/>
              <w:left w:val="nil"/>
              <w:bottom w:val="double" w:sz="6" w:space="0" w:color="auto"/>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 </w:t>
            </w:r>
          </w:p>
        </w:tc>
        <w:tc>
          <w:tcPr>
            <w:tcW w:w="720" w:type="dxa"/>
            <w:gridSpan w:val="2"/>
            <w:tcBorders>
              <w:top w:val="nil"/>
              <w:left w:val="nil"/>
              <w:bottom w:val="double" w:sz="6" w:space="0" w:color="auto"/>
              <w:right w:val="nil"/>
            </w:tcBorders>
            <w:shd w:val="clear" w:color="auto" w:fill="auto"/>
            <w:vAlign w:val="center"/>
            <w:hideMark/>
          </w:tcPr>
          <w:p w:rsidR="00580674" w:rsidRPr="00356702" w:rsidRDefault="00580674" w:rsidP="00356702">
            <w:pPr>
              <w:rPr>
                <w:color w:val="000000" w:themeColor="text1"/>
                <w:sz w:val="20"/>
                <w:szCs w:val="20"/>
              </w:rPr>
            </w:pPr>
            <w:r w:rsidRPr="00356702">
              <w:rPr>
                <w:color w:val="000000" w:themeColor="text1"/>
                <w:sz w:val="20"/>
                <w:szCs w:val="20"/>
              </w:rPr>
              <w:t> </w:t>
            </w:r>
          </w:p>
        </w:tc>
        <w:tc>
          <w:tcPr>
            <w:tcW w:w="900" w:type="dxa"/>
            <w:tcBorders>
              <w:top w:val="nil"/>
              <w:left w:val="nil"/>
              <w:bottom w:val="double" w:sz="6" w:space="0" w:color="auto"/>
              <w:right w:val="nil"/>
            </w:tcBorders>
            <w:shd w:val="clear" w:color="auto" w:fill="auto"/>
            <w:vAlign w:val="center"/>
            <w:hideMark/>
          </w:tcPr>
          <w:p w:rsidR="00580674" w:rsidRPr="00356702" w:rsidRDefault="00580674" w:rsidP="00356702">
            <w:pPr>
              <w:jc w:val="center"/>
              <w:rPr>
                <w:color w:val="000000" w:themeColor="text1"/>
                <w:sz w:val="20"/>
                <w:szCs w:val="20"/>
              </w:rPr>
            </w:pPr>
            <w:r w:rsidRPr="00356702">
              <w:rPr>
                <w:color w:val="000000" w:themeColor="text1"/>
                <w:sz w:val="20"/>
                <w:szCs w:val="20"/>
              </w:rPr>
              <w:t> </w:t>
            </w:r>
          </w:p>
        </w:tc>
      </w:tr>
      <w:tr w:rsidR="007F4307" w:rsidRPr="00356702" w:rsidTr="00946192">
        <w:tblPrEx>
          <w:jc w:val="center"/>
        </w:tblPrEx>
        <w:trPr>
          <w:trHeight w:val="251"/>
          <w:jc w:val="center"/>
        </w:trPr>
        <w:tc>
          <w:tcPr>
            <w:tcW w:w="28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F4307" w:rsidRPr="00356702" w:rsidRDefault="007F4307" w:rsidP="00356702">
            <w:pPr>
              <w:jc w:val="both"/>
              <w:rPr>
                <w:b/>
                <w:color w:val="000000" w:themeColor="text1"/>
                <w:sz w:val="20"/>
                <w:szCs w:val="20"/>
              </w:rPr>
            </w:pPr>
            <w:bookmarkStart w:id="114" w:name="OLE_LINK699"/>
            <w:r w:rsidRPr="00356702">
              <w:rPr>
                <w:b/>
                <w:color w:val="000000" w:themeColor="text1"/>
                <w:sz w:val="20"/>
                <w:szCs w:val="20"/>
              </w:rPr>
              <w:t> </w:t>
            </w:r>
          </w:p>
        </w:tc>
        <w:tc>
          <w:tcPr>
            <w:tcW w:w="1710" w:type="dxa"/>
            <w:gridSpan w:val="2"/>
            <w:tcBorders>
              <w:top w:val="single" w:sz="4" w:space="0" w:color="auto"/>
              <w:left w:val="nil"/>
              <w:bottom w:val="single" w:sz="4" w:space="0" w:color="auto"/>
              <w:right w:val="single" w:sz="4" w:space="0" w:color="auto"/>
            </w:tcBorders>
            <w:shd w:val="clear" w:color="auto" w:fill="auto"/>
            <w:vAlign w:val="center"/>
            <w:hideMark/>
          </w:tcPr>
          <w:p w:rsidR="007F4307" w:rsidRPr="00356702" w:rsidRDefault="007F4307" w:rsidP="00356702">
            <w:pPr>
              <w:jc w:val="center"/>
              <w:rPr>
                <w:b/>
                <w:color w:val="000000" w:themeColor="text1"/>
                <w:sz w:val="20"/>
                <w:szCs w:val="20"/>
              </w:rPr>
            </w:pPr>
            <w:r w:rsidRPr="00356702">
              <w:rPr>
                <w:b/>
                <w:color w:val="000000" w:themeColor="text1"/>
                <w:sz w:val="20"/>
                <w:szCs w:val="20"/>
              </w:rPr>
              <w:t>G= 0</w:t>
            </w:r>
          </w:p>
        </w:tc>
        <w:tc>
          <w:tcPr>
            <w:tcW w:w="1620" w:type="dxa"/>
            <w:gridSpan w:val="3"/>
            <w:tcBorders>
              <w:top w:val="single" w:sz="4" w:space="0" w:color="auto"/>
              <w:left w:val="nil"/>
              <w:bottom w:val="single" w:sz="4" w:space="0" w:color="auto"/>
              <w:right w:val="single" w:sz="4" w:space="0" w:color="auto"/>
            </w:tcBorders>
            <w:shd w:val="clear" w:color="auto" w:fill="auto"/>
            <w:vAlign w:val="center"/>
            <w:hideMark/>
          </w:tcPr>
          <w:p w:rsidR="007F4307" w:rsidRPr="00356702" w:rsidRDefault="007F4307" w:rsidP="00356702">
            <w:pPr>
              <w:jc w:val="center"/>
              <w:rPr>
                <w:b/>
                <w:color w:val="000000" w:themeColor="text1"/>
                <w:sz w:val="20"/>
                <w:szCs w:val="20"/>
              </w:rPr>
            </w:pPr>
            <w:r w:rsidRPr="00356702">
              <w:rPr>
                <w:b/>
                <w:color w:val="000000" w:themeColor="text1"/>
                <w:sz w:val="20"/>
                <w:szCs w:val="20"/>
              </w:rPr>
              <w:t>G = 1</w:t>
            </w:r>
          </w:p>
        </w:tc>
      </w:tr>
      <w:tr w:rsidR="00580674" w:rsidRPr="00356702" w:rsidTr="00AE6BDB">
        <w:tblPrEx>
          <w:jc w:val="center"/>
        </w:tblPrEx>
        <w:trPr>
          <w:trHeight w:val="251"/>
          <w:jc w:val="center"/>
        </w:trPr>
        <w:tc>
          <w:tcPr>
            <w:tcW w:w="2880" w:type="dxa"/>
            <w:gridSpan w:val="4"/>
            <w:tcBorders>
              <w:top w:val="nil"/>
              <w:left w:val="single" w:sz="4" w:space="0" w:color="auto"/>
              <w:bottom w:val="single" w:sz="4" w:space="0" w:color="auto"/>
              <w:right w:val="single" w:sz="4" w:space="0" w:color="auto"/>
            </w:tcBorders>
            <w:shd w:val="clear" w:color="auto" w:fill="auto"/>
            <w:vAlign w:val="center"/>
            <w:hideMark/>
          </w:tcPr>
          <w:p w:rsidR="00580674" w:rsidRPr="00356702" w:rsidRDefault="00580674" w:rsidP="00356702">
            <w:pPr>
              <w:jc w:val="both"/>
              <w:rPr>
                <w:color w:val="000000" w:themeColor="text1"/>
                <w:sz w:val="20"/>
                <w:szCs w:val="20"/>
              </w:rPr>
            </w:pPr>
            <w:r w:rsidRPr="00356702">
              <w:rPr>
                <w:color w:val="000000" w:themeColor="text1"/>
                <w:sz w:val="20"/>
                <w:szCs w:val="20"/>
              </w:rPr>
              <w:t>SR ERPT</w:t>
            </w:r>
          </w:p>
        </w:tc>
        <w:tc>
          <w:tcPr>
            <w:tcW w:w="1710" w:type="dxa"/>
            <w:gridSpan w:val="2"/>
            <w:tcBorders>
              <w:top w:val="nil"/>
              <w:left w:val="nil"/>
              <w:bottom w:val="single" w:sz="4" w:space="0" w:color="auto"/>
              <w:right w:val="single" w:sz="4" w:space="0" w:color="auto"/>
            </w:tcBorders>
            <w:shd w:val="clear" w:color="auto" w:fill="auto"/>
            <w:hideMark/>
          </w:tcPr>
          <w:p w:rsidR="00580674" w:rsidRPr="00356702" w:rsidRDefault="00580674" w:rsidP="00356702">
            <w:pPr>
              <w:jc w:val="center"/>
              <w:rPr>
                <w:color w:val="000000" w:themeColor="text1"/>
                <w:sz w:val="20"/>
                <w:szCs w:val="20"/>
              </w:rPr>
            </w:pPr>
            <w:r w:rsidRPr="00356702">
              <w:rPr>
                <w:sz w:val="20"/>
                <w:szCs w:val="20"/>
              </w:rPr>
              <w:t>0,119</w:t>
            </w:r>
          </w:p>
        </w:tc>
        <w:tc>
          <w:tcPr>
            <w:tcW w:w="1620" w:type="dxa"/>
            <w:gridSpan w:val="3"/>
            <w:tcBorders>
              <w:top w:val="nil"/>
              <w:left w:val="nil"/>
              <w:bottom w:val="single" w:sz="4" w:space="0" w:color="auto"/>
              <w:right w:val="single" w:sz="4" w:space="0" w:color="auto"/>
            </w:tcBorders>
            <w:shd w:val="clear" w:color="auto" w:fill="auto"/>
            <w:hideMark/>
          </w:tcPr>
          <w:p w:rsidR="00580674" w:rsidRPr="00356702" w:rsidRDefault="00580674" w:rsidP="00356702">
            <w:pPr>
              <w:jc w:val="center"/>
              <w:rPr>
                <w:color w:val="000000" w:themeColor="text1"/>
                <w:sz w:val="20"/>
                <w:szCs w:val="20"/>
              </w:rPr>
            </w:pPr>
            <w:r w:rsidRPr="00356702">
              <w:rPr>
                <w:sz w:val="20"/>
                <w:szCs w:val="20"/>
              </w:rPr>
              <w:t>-0,189</w:t>
            </w:r>
          </w:p>
        </w:tc>
      </w:tr>
      <w:tr w:rsidR="00580674" w:rsidRPr="00356702" w:rsidTr="00AE6BDB">
        <w:tblPrEx>
          <w:jc w:val="center"/>
        </w:tblPrEx>
        <w:trPr>
          <w:trHeight w:val="251"/>
          <w:jc w:val="center"/>
        </w:trPr>
        <w:tc>
          <w:tcPr>
            <w:tcW w:w="2880" w:type="dxa"/>
            <w:gridSpan w:val="4"/>
            <w:tcBorders>
              <w:top w:val="nil"/>
              <w:left w:val="single" w:sz="4" w:space="0" w:color="auto"/>
              <w:bottom w:val="single" w:sz="4" w:space="0" w:color="auto"/>
              <w:right w:val="single" w:sz="4" w:space="0" w:color="auto"/>
            </w:tcBorders>
            <w:shd w:val="clear" w:color="auto" w:fill="auto"/>
            <w:vAlign w:val="center"/>
            <w:hideMark/>
          </w:tcPr>
          <w:p w:rsidR="00580674" w:rsidRPr="00356702" w:rsidRDefault="00580674" w:rsidP="00356702">
            <w:pPr>
              <w:jc w:val="both"/>
              <w:rPr>
                <w:i/>
                <w:color w:val="000000" w:themeColor="text1"/>
                <w:sz w:val="20"/>
                <w:szCs w:val="20"/>
              </w:rPr>
            </w:pPr>
            <w:r w:rsidRPr="00356702">
              <w:rPr>
                <w:i/>
                <w:color w:val="000000" w:themeColor="text1"/>
                <w:sz w:val="20"/>
                <w:szCs w:val="20"/>
              </w:rPr>
              <w:t>p_value</w:t>
            </w:r>
          </w:p>
        </w:tc>
        <w:tc>
          <w:tcPr>
            <w:tcW w:w="1710" w:type="dxa"/>
            <w:gridSpan w:val="2"/>
            <w:tcBorders>
              <w:top w:val="nil"/>
              <w:left w:val="nil"/>
              <w:bottom w:val="single" w:sz="4" w:space="0" w:color="auto"/>
              <w:right w:val="single" w:sz="4" w:space="0" w:color="auto"/>
            </w:tcBorders>
            <w:shd w:val="clear" w:color="auto" w:fill="auto"/>
            <w:hideMark/>
          </w:tcPr>
          <w:p w:rsidR="00580674" w:rsidRPr="00356702" w:rsidRDefault="00580674" w:rsidP="00356702">
            <w:pPr>
              <w:jc w:val="center"/>
              <w:rPr>
                <w:i/>
                <w:iCs/>
                <w:color w:val="000000" w:themeColor="text1"/>
                <w:sz w:val="20"/>
                <w:szCs w:val="20"/>
              </w:rPr>
            </w:pPr>
            <w:r w:rsidRPr="00356702">
              <w:rPr>
                <w:i/>
                <w:sz w:val="20"/>
                <w:szCs w:val="20"/>
              </w:rPr>
              <w:t>0,655</w:t>
            </w:r>
          </w:p>
        </w:tc>
        <w:tc>
          <w:tcPr>
            <w:tcW w:w="1620" w:type="dxa"/>
            <w:gridSpan w:val="3"/>
            <w:tcBorders>
              <w:top w:val="nil"/>
              <w:left w:val="nil"/>
              <w:bottom w:val="single" w:sz="4" w:space="0" w:color="auto"/>
              <w:right w:val="single" w:sz="4" w:space="0" w:color="auto"/>
            </w:tcBorders>
            <w:shd w:val="clear" w:color="auto" w:fill="auto"/>
            <w:hideMark/>
          </w:tcPr>
          <w:p w:rsidR="00580674" w:rsidRPr="00356702" w:rsidRDefault="00580674" w:rsidP="00356702">
            <w:pPr>
              <w:jc w:val="center"/>
              <w:rPr>
                <w:i/>
                <w:iCs/>
                <w:color w:val="000000" w:themeColor="text1"/>
                <w:sz w:val="20"/>
                <w:szCs w:val="20"/>
              </w:rPr>
            </w:pPr>
            <w:r w:rsidRPr="00356702">
              <w:rPr>
                <w:i/>
                <w:sz w:val="20"/>
                <w:szCs w:val="20"/>
              </w:rPr>
              <w:t>0,583</w:t>
            </w:r>
          </w:p>
        </w:tc>
      </w:tr>
      <w:tr w:rsidR="00580674" w:rsidRPr="00356702" w:rsidTr="00AE6BDB">
        <w:tblPrEx>
          <w:jc w:val="center"/>
        </w:tblPrEx>
        <w:trPr>
          <w:trHeight w:val="251"/>
          <w:jc w:val="center"/>
        </w:trPr>
        <w:tc>
          <w:tcPr>
            <w:tcW w:w="2880" w:type="dxa"/>
            <w:gridSpan w:val="4"/>
            <w:tcBorders>
              <w:top w:val="nil"/>
              <w:left w:val="single" w:sz="4" w:space="0" w:color="auto"/>
              <w:bottom w:val="single" w:sz="4" w:space="0" w:color="auto"/>
              <w:right w:val="single" w:sz="4" w:space="0" w:color="auto"/>
            </w:tcBorders>
            <w:shd w:val="clear" w:color="auto" w:fill="auto"/>
            <w:vAlign w:val="center"/>
            <w:hideMark/>
          </w:tcPr>
          <w:p w:rsidR="00580674" w:rsidRPr="00356702" w:rsidRDefault="00580674" w:rsidP="00356702">
            <w:pPr>
              <w:jc w:val="both"/>
              <w:rPr>
                <w:color w:val="000000" w:themeColor="text1"/>
                <w:sz w:val="20"/>
                <w:szCs w:val="20"/>
              </w:rPr>
            </w:pPr>
            <w:r w:rsidRPr="00356702">
              <w:rPr>
                <w:color w:val="000000" w:themeColor="text1"/>
                <w:sz w:val="20"/>
                <w:szCs w:val="20"/>
              </w:rPr>
              <w:t>LR ERPT</w:t>
            </w:r>
          </w:p>
        </w:tc>
        <w:tc>
          <w:tcPr>
            <w:tcW w:w="1710" w:type="dxa"/>
            <w:gridSpan w:val="2"/>
            <w:tcBorders>
              <w:top w:val="nil"/>
              <w:left w:val="nil"/>
              <w:bottom w:val="single" w:sz="4" w:space="0" w:color="auto"/>
              <w:right w:val="single" w:sz="4" w:space="0" w:color="auto"/>
            </w:tcBorders>
            <w:shd w:val="clear" w:color="auto" w:fill="auto"/>
            <w:hideMark/>
          </w:tcPr>
          <w:p w:rsidR="00580674" w:rsidRPr="00356702" w:rsidRDefault="00580674" w:rsidP="00356702">
            <w:pPr>
              <w:jc w:val="center"/>
              <w:rPr>
                <w:color w:val="000000" w:themeColor="text1"/>
                <w:sz w:val="20"/>
                <w:szCs w:val="20"/>
              </w:rPr>
            </w:pPr>
            <w:r w:rsidRPr="00356702">
              <w:rPr>
                <w:sz w:val="20"/>
                <w:szCs w:val="20"/>
              </w:rPr>
              <w:t>0,779</w:t>
            </w:r>
          </w:p>
        </w:tc>
        <w:tc>
          <w:tcPr>
            <w:tcW w:w="1620" w:type="dxa"/>
            <w:gridSpan w:val="3"/>
            <w:tcBorders>
              <w:top w:val="nil"/>
              <w:left w:val="nil"/>
              <w:bottom w:val="single" w:sz="4" w:space="0" w:color="auto"/>
              <w:right w:val="single" w:sz="4" w:space="0" w:color="auto"/>
            </w:tcBorders>
            <w:shd w:val="clear" w:color="auto" w:fill="auto"/>
            <w:hideMark/>
          </w:tcPr>
          <w:p w:rsidR="00580674" w:rsidRPr="00356702" w:rsidRDefault="00580674" w:rsidP="00356702">
            <w:pPr>
              <w:jc w:val="center"/>
              <w:rPr>
                <w:color w:val="000000" w:themeColor="text1"/>
                <w:sz w:val="20"/>
                <w:szCs w:val="20"/>
              </w:rPr>
            </w:pPr>
            <w:r w:rsidRPr="00356702">
              <w:rPr>
                <w:sz w:val="20"/>
                <w:szCs w:val="20"/>
              </w:rPr>
              <w:t>-1,211</w:t>
            </w:r>
          </w:p>
        </w:tc>
      </w:tr>
      <w:tr w:rsidR="00580674" w:rsidRPr="00356702" w:rsidTr="00AE6BDB">
        <w:tblPrEx>
          <w:jc w:val="center"/>
        </w:tblPrEx>
        <w:trPr>
          <w:trHeight w:val="251"/>
          <w:jc w:val="center"/>
        </w:trPr>
        <w:tc>
          <w:tcPr>
            <w:tcW w:w="2880" w:type="dxa"/>
            <w:gridSpan w:val="4"/>
            <w:tcBorders>
              <w:top w:val="nil"/>
              <w:left w:val="single" w:sz="4" w:space="0" w:color="auto"/>
              <w:bottom w:val="single" w:sz="4" w:space="0" w:color="auto"/>
              <w:right w:val="single" w:sz="4" w:space="0" w:color="auto"/>
            </w:tcBorders>
            <w:shd w:val="clear" w:color="auto" w:fill="auto"/>
            <w:vAlign w:val="center"/>
            <w:hideMark/>
          </w:tcPr>
          <w:p w:rsidR="00580674" w:rsidRPr="00356702" w:rsidRDefault="00580674" w:rsidP="00356702">
            <w:pPr>
              <w:jc w:val="both"/>
              <w:rPr>
                <w:i/>
                <w:color w:val="000000" w:themeColor="text1"/>
                <w:sz w:val="20"/>
                <w:szCs w:val="20"/>
              </w:rPr>
            </w:pPr>
            <w:r w:rsidRPr="00356702">
              <w:rPr>
                <w:i/>
                <w:color w:val="000000" w:themeColor="text1"/>
                <w:sz w:val="20"/>
                <w:szCs w:val="20"/>
              </w:rPr>
              <w:t>p_value</w:t>
            </w:r>
          </w:p>
        </w:tc>
        <w:tc>
          <w:tcPr>
            <w:tcW w:w="1710" w:type="dxa"/>
            <w:gridSpan w:val="2"/>
            <w:tcBorders>
              <w:top w:val="nil"/>
              <w:left w:val="nil"/>
              <w:bottom w:val="single" w:sz="4" w:space="0" w:color="auto"/>
              <w:right w:val="single" w:sz="4" w:space="0" w:color="auto"/>
            </w:tcBorders>
            <w:shd w:val="clear" w:color="auto" w:fill="auto"/>
            <w:hideMark/>
          </w:tcPr>
          <w:p w:rsidR="00580674" w:rsidRPr="00356702" w:rsidRDefault="00580674" w:rsidP="00356702">
            <w:pPr>
              <w:jc w:val="center"/>
              <w:rPr>
                <w:i/>
                <w:iCs/>
                <w:color w:val="000000" w:themeColor="text1"/>
                <w:sz w:val="20"/>
                <w:szCs w:val="20"/>
              </w:rPr>
            </w:pPr>
            <w:r w:rsidRPr="00356702">
              <w:rPr>
                <w:i/>
                <w:sz w:val="20"/>
                <w:szCs w:val="20"/>
              </w:rPr>
              <w:t>0,081</w:t>
            </w:r>
          </w:p>
        </w:tc>
        <w:tc>
          <w:tcPr>
            <w:tcW w:w="1620" w:type="dxa"/>
            <w:gridSpan w:val="3"/>
            <w:tcBorders>
              <w:top w:val="nil"/>
              <w:left w:val="nil"/>
              <w:bottom w:val="single" w:sz="4" w:space="0" w:color="auto"/>
              <w:right w:val="single" w:sz="4" w:space="0" w:color="auto"/>
            </w:tcBorders>
            <w:shd w:val="clear" w:color="auto" w:fill="auto"/>
            <w:hideMark/>
          </w:tcPr>
          <w:p w:rsidR="00580674" w:rsidRPr="00356702" w:rsidRDefault="00580674" w:rsidP="00356702">
            <w:pPr>
              <w:jc w:val="center"/>
              <w:rPr>
                <w:i/>
                <w:iCs/>
                <w:color w:val="000000" w:themeColor="text1"/>
                <w:sz w:val="20"/>
                <w:szCs w:val="20"/>
              </w:rPr>
            </w:pPr>
            <w:r w:rsidRPr="00356702">
              <w:rPr>
                <w:i/>
                <w:sz w:val="20"/>
                <w:szCs w:val="20"/>
              </w:rPr>
              <w:t>0,303</w:t>
            </w:r>
          </w:p>
        </w:tc>
      </w:tr>
    </w:tbl>
    <w:bookmarkEnd w:id="107"/>
    <w:bookmarkEnd w:id="108"/>
    <w:bookmarkEnd w:id="114"/>
    <w:p w:rsidR="005F0EDF" w:rsidRDefault="00356702" w:rsidP="005F0EDF">
      <w:pPr>
        <w:spacing w:line="340" w:lineRule="exact"/>
        <w:jc w:val="both"/>
        <w:rPr>
          <w:sz w:val="22"/>
          <w:szCs w:val="22"/>
        </w:rPr>
      </w:pPr>
      <w:r>
        <w:rPr>
          <w:sz w:val="22"/>
          <w:szCs w:val="22"/>
        </w:rPr>
        <w:lastRenderedPageBreak/>
        <w:t>In the short term, the results show a negative relationship between trade openness and exchange rate pass-through. Specifically, when the trade openness is below the threshold the transmission will be higher at 0.119. Meanwhile, when the volatility of the exchange rate surpasses the threshold, the pass-through will drop to -0.189. Long-term results also show a decrease in exchange rate pass-through when trade openness exceeds threshold levels.</w:t>
      </w:r>
    </w:p>
    <w:p w:rsidR="00356702" w:rsidRDefault="00356702" w:rsidP="005F0EDF">
      <w:pPr>
        <w:spacing w:line="340" w:lineRule="exact"/>
        <w:jc w:val="both"/>
        <w:rPr>
          <w:sz w:val="22"/>
          <w:szCs w:val="22"/>
        </w:rPr>
      </w:pPr>
      <w:r>
        <w:rPr>
          <w:sz w:val="22"/>
          <w:szCs w:val="22"/>
        </w:rPr>
        <w:t xml:space="preserve">The results from the study show that the firm pricing power in different openness levels may be causing the above results. As the openness </w:t>
      </w:r>
      <w:proofErr w:type="gramStart"/>
      <w:r>
        <w:rPr>
          <w:sz w:val="22"/>
          <w:szCs w:val="22"/>
        </w:rPr>
        <w:t>level</w:t>
      </w:r>
      <w:proofErr w:type="gramEnd"/>
      <w:r>
        <w:rPr>
          <w:sz w:val="22"/>
          <w:szCs w:val="22"/>
        </w:rPr>
        <w:t xml:space="preserve"> increases meaning that the level of competition in the economy also increases significantly, firms are less likely to move changes in exchange rates into prices than when openness remains. Consequently, ERPT is lower.</w:t>
      </w:r>
    </w:p>
    <w:p w:rsidR="009A2035" w:rsidRPr="000B3A8F" w:rsidRDefault="007F4307" w:rsidP="000B3A8F">
      <w:pPr>
        <w:pStyle w:val="Heading1"/>
        <w:spacing w:line="340" w:lineRule="exact"/>
        <w:jc w:val="center"/>
        <w:rPr>
          <w:rFonts w:ascii="Times New Roman" w:eastAsia="Calibri" w:hAnsi="Times New Roman" w:cs="Times New Roman"/>
          <w:b/>
          <w:sz w:val="22"/>
          <w:szCs w:val="22"/>
        </w:rPr>
      </w:pPr>
      <w:r w:rsidRPr="00356702">
        <w:br w:type="page"/>
      </w:r>
      <w:bookmarkStart w:id="115" w:name="_Toc533104505"/>
      <w:bookmarkStart w:id="116" w:name="_Toc9489632"/>
      <w:r w:rsidR="00FA0FF6" w:rsidRPr="000B3A8F">
        <w:rPr>
          <w:rFonts w:ascii="Times New Roman" w:eastAsia="Calibri" w:hAnsi="Times New Roman" w:cs="Times New Roman"/>
          <w:b/>
          <w:color w:val="auto"/>
          <w:sz w:val="22"/>
          <w:szCs w:val="22"/>
        </w:rPr>
        <w:lastRenderedPageBreak/>
        <w:t xml:space="preserve">Chapter </w:t>
      </w:r>
      <w:r w:rsidR="009A2035" w:rsidRPr="000B3A8F">
        <w:rPr>
          <w:rFonts w:ascii="Times New Roman" w:eastAsia="Calibri" w:hAnsi="Times New Roman" w:cs="Times New Roman"/>
          <w:b/>
          <w:color w:val="auto"/>
          <w:sz w:val="22"/>
          <w:szCs w:val="22"/>
        </w:rPr>
        <w:t>5</w:t>
      </w:r>
      <w:r w:rsidR="002B5FEF" w:rsidRPr="000B3A8F">
        <w:rPr>
          <w:rFonts w:ascii="Times New Roman" w:eastAsia="Calibri" w:hAnsi="Times New Roman" w:cs="Times New Roman"/>
          <w:b/>
          <w:color w:val="auto"/>
          <w:sz w:val="22"/>
          <w:szCs w:val="22"/>
        </w:rPr>
        <w:t xml:space="preserve">: </w:t>
      </w:r>
      <w:r w:rsidR="00816812" w:rsidRPr="000B3A8F">
        <w:rPr>
          <w:rFonts w:ascii="Times New Roman" w:eastAsia="Calibri" w:hAnsi="Times New Roman" w:cs="Times New Roman"/>
          <w:b/>
          <w:color w:val="auto"/>
          <w:sz w:val="22"/>
          <w:szCs w:val="22"/>
        </w:rPr>
        <w:t>CONCLUSION AND POLICY IMPLICATIONS</w:t>
      </w:r>
    </w:p>
    <w:bookmarkEnd w:id="115"/>
    <w:bookmarkEnd w:id="116"/>
    <w:p w:rsidR="009B6E3D" w:rsidRPr="000B3A8F" w:rsidRDefault="00402D9F" w:rsidP="000B3A8F">
      <w:pPr>
        <w:tabs>
          <w:tab w:val="left" w:pos="2160"/>
        </w:tabs>
        <w:spacing w:line="340" w:lineRule="exact"/>
        <w:jc w:val="center"/>
        <w:rPr>
          <w:b/>
          <w:sz w:val="22"/>
          <w:szCs w:val="22"/>
        </w:rPr>
      </w:pPr>
      <w:r w:rsidRPr="000B3A8F">
        <w:rPr>
          <w:b/>
          <w:sz w:val="22"/>
          <w:szCs w:val="22"/>
        </w:rPr>
        <w:t>Table</w:t>
      </w:r>
      <w:r w:rsidR="009B6E3D" w:rsidRPr="000B3A8F">
        <w:rPr>
          <w:b/>
          <w:sz w:val="22"/>
          <w:szCs w:val="22"/>
        </w:rPr>
        <w:t xml:space="preserve"> 5.1</w:t>
      </w:r>
      <w:r w:rsidRPr="000B3A8F">
        <w:rPr>
          <w:b/>
          <w:sz w:val="22"/>
          <w:szCs w:val="22"/>
        </w:rPr>
        <w:t>: Summary results from STR models</w:t>
      </w:r>
      <w:r w:rsidR="009B6E3D" w:rsidRPr="000B3A8F">
        <w:rPr>
          <w:b/>
          <w:sz w:val="22"/>
          <w:szCs w:val="22"/>
        </w:rPr>
        <w:t xml:space="preserve"> </w:t>
      </w:r>
    </w:p>
    <w:tbl>
      <w:tblPr>
        <w:tblStyle w:val="TableGrid"/>
        <w:tblW w:w="6030" w:type="dxa"/>
        <w:tblInd w:w="-5" w:type="dxa"/>
        <w:tblLook w:val="04A0" w:firstRow="1" w:lastRow="0" w:firstColumn="1" w:lastColumn="0" w:noHBand="0" w:noVBand="1"/>
      </w:tblPr>
      <w:tblGrid>
        <w:gridCol w:w="2340"/>
        <w:gridCol w:w="1170"/>
        <w:gridCol w:w="1170"/>
        <w:gridCol w:w="1350"/>
      </w:tblGrid>
      <w:tr w:rsidR="009B6E3D" w:rsidRPr="000B3A8F" w:rsidTr="000D44DC">
        <w:trPr>
          <w:trHeight w:val="300"/>
        </w:trPr>
        <w:tc>
          <w:tcPr>
            <w:tcW w:w="2340" w:type="dxa"/>
            <w:shd w:val="clear" w:color="auto" w:fill="DBDBDB" w:themeFill="accent3" w:themeFillTint="66"/>
          </w:tcPr>
          <w:p w:rsidR="009B6E3D" w:rsidRPr="000D44DC" w:rsidRDefault="00E4136B" w:rsidP="005F0EDF">
            <w:pPr>
              <w:ind w:right="14"/>
              <w:jc w:val="center"/>
              <w:rPr>
                <w:b/>
                <w:sz w:val="20"/>
                <w:szCs w:val="20"/>
              </w:rPr>
            </w:pPr>
            <w:bookmarkStart w:id="117" w:name="OLE_LINK769"/>
            <w:bookmarkStart w:id="118" w:name="OLE_LINK770"/>
            <w:bookmarkStart w:id="119" w:name="OLE_LINK783"/>
            <w:bookmarkStart w:id="120" w:name="OLE_LINK927"/>
            <w:r w:rsidRPr="000D44DC">
              <w:rPr>
                <w:b/>
                <w:sz w:val="20"/>
                <w:szCs w:val="20"/>
              </w:rPr>
              <w:t>Transition variable</w:t>
            </w:r>
          </w:p>
        </w:tc>
        <w:tc>
          <w:tcPr>
            <w:tcW w:w="1170" w:type="dxa"/>
            <w:shd w:val="clear" w:color="auto" w:fill="DBDBDB" w:themeFill="accent3" w:themeFillTint="66"/>
          </w:tcPr>
          <w:p w:rsidR="009B6E3D" w:rsidRPr="000D44DC" w:rsidRDefault="009B6E3D" w:rsidP="005F0EDF">
            <w:pPr>
              <w:ind w:right="14"/>
              <w:jc w:val="center"/>
              <w:rPr>
                <w:b/>
                <w:sz w:val="20"/>
                <w:szCs w:val="20"/>
              </w:rPr>
            </w:pPr>
            <w:r w:rsidRPr="000D44DC">
              <w:rPr>
                <w:b/>
                <w:sz w:val="20"/>
                <w:szCs w:val="20"/>
              </w:rPr>
              <w:t>ERPT</w:t>
            </w:r>
            <w:r w:rsidR="00E4136B" w:rsidRPr="000D44DC">
              <w:rPr>
                <w:b/>
                <w:sz w:val="20"/>
                <w:szCs w:val="20"/>
              </w:rPr>
              <w:t xml:space="preserve"> Coefficient</w:t>
            </w:r>
          </w:p>
        </w:tc>
        <w:tc>
          <w:tcPr>
            <w:tcW w:w="1170" w:type="dxa"/>
            <w:shd w:val="clear" w:color="auto" w:fill="DBDBDB" w:themeFill="accent3" w:themeFillTint="66"/>
          </w:tcPr>
          <w:p w:rsidR="009B6E3D" w:rsidRPr="000D44DC" w:rsidRDefault="00E4136B" w:rsidP="005F0EDF">
            <w:pPr>
              <w:ind w:right="14"/>
              <w:jc w:val="center"/>
              <w:rPr>
                <w:b/>
                <w:sz w:val="20"/>
                <w:szCs w:val="20"/>
              </w:rPr>
            </w:pPr>
            <w:r w:rsidRPr="000D44DC">
              <w:rPr>
                <w:b/>
                <w:sz w:val="20"/>
                <w:szCs w:val="20"/>
              </w:rPr>
              <w:t xml:space="preserve">Below </w:t>
            </w:r>
            <w:r w:rsidR="004C15E0" w:rsidRPr="000D44DC">
              <w:rPr>
                <w:b/>
                <w:sz w:val="20"/>
                <w:szCs w:val="20"/>
              </w:rPr>
              <w:t xml:space="preserve">the </w:t>
            </w:r>
            <w:r w:rsidRPr="000D44DC">
              <w:rPr>
                <w:b/>
                <w:sz w:val="20"/>
                <w:szCs w:val="20"/>
              </w:rPr>
              <w:t>threshold</w:t>
            </w:r>
          </w:p>
          <w:p w:rsidR="009B6E3D" w:rsidRPr="000D44DC" w:rsidRDefault="009B6E3D" w:rsidP="005F0EDF">
            <w:pPr>
              <w:ind w:right="14"/>
              <w:jc w:val="center"/>
              <w:rPr>
                <w:b/>
                <w:sz w:val="20"/>
                <w:szCs w:val="20"/>
              </w:rPr>
            </w:pPr>
            <w:r w:rsidRPr="000D44DC">
              <w:rPr>
                <w:b/>
                <w:sz w:val="20"/>
                <w:szCs w:val="20"/>
              </w:rPr>
              <w:t>G = 0</w:t>
            </w:r>
          </w:p>
        </w:tc>
        <w:tc>
          <w:tcPr>
            <w:tcW w:w="1350" w:type="dxa"/>
            <w:shd w:val="clear" w:color="auto" w:fill="DBDBDB" w:themeFill="accent3" w:themeFillTint="66"/>
          </w:tcPr>
          <w:p w:rsidR="009B6E3D" w:rsidRPr="000D44DC" w:rsidRDefault="004C15E0" w:rsidP="005F0EDF">
            <w:pPr>
              <w:ind w:right="14"/>
              <w:jc w:val="center"/>
              <w:rPr>
                <w:b/>
                <w:sz w:val="20"/>
                <w:szCs w:val="20"/>
              </w:rPr>
            </w:pPr>
            <w:r w:rsidRPr="000D44DC">
              <w:rPr>
                <w:b/>
                <w:sz w:val="20"/>
                <w:szCs w:val="20"/>
              </w:rPr>
              <w:t>Above the threshold</w:t>
            </w:r>
          </w:p>
          <w:p w:rsidR="009B6E3D" w:rsidRPr="000D44DC" w:rsidRDefault="009B6E3D" w:rsidP="005F0EDF">
            <w:pPr>
              <w:ind w:right="14"/>
              <w:jc w:val="center"/>
              <w:rPr>
                <w:b/>
                <w:sz w:val="20"/>
                <w:szCs w:val="20"/>
              </w:rPr>
            </w:pPr>
            <w:r w:rsidRPr="000D44DC">
              <w:rPr>
                <w:b/>
                <w:sz w:val="20"/>
                <w:szCs w:val="20"/>
              </w:rPr>
              <w:t>G = 1</w:t>
            </w:r>
          </w:p>
        </w:tc>
      </w:tr>
      <w:tr w:rsidR="00BF331E" w:rsidRPr="000B3A8F" w:rsidTr="000D44DC">
        <w:trPr>
          <w:trHeight w:val="391"/>
        </w:trPr>
        <w:tc>
          <w:tcPr>
            <w:tcW w:w="2340" w:type="dxa"/>
            <w:vMerge w:val="restart"/>
            <w:vAlign w:val="center"/>
          </w:tcPr>
          <w:p w:rsidR="00BF331E" w:rsidRPr="000D44DC" w:rsidRDefault="00BF331E" w:rsidP="005F0EDF">
            <w:pPr>
              <w:ind w:right="14"/>
              <w:jc w:val="center"/>
              <w:rPr>
                <w:b/>
                <w:sz w:val="20"/>
                <w:szCs w:val="20"/>
              </w:rPr>
            </w:pPr>
            <w:bookmarkStart w:id="121" w:name="_Hlk43092864"/>
            <w:r w:rsidRPr="000D44DC">
              <w:rPr>
                <w:b/>
                <w:sz w:val="20"/>
                <w:szCs w:val="20"/>
              </w:rPr>
              <w:t>Inflation</w:t>
            </w:r>
          </w:p>
          <w:p w:rsidR="00BF331E" w:rsidRPr="000D44DC" w:rsidRDefault="00BF331E" w:rsidP="005F0EDF">
            <w:pPr>
              <w:ind w:right="14"/>
              <w:jc w:val="center"/>
              <w:rPr>
                <w:sz w:val="20"/>
                <w:szCs w:val="20"/>
              </w:rPr>
            </w:pPr>
            <w:r w:rsidRPr="000D44DC">
              <w:rPr>
                <w:sz w:val="20"/>
                <w:szCs w:val="20"/>
              </w:rPr>
              <w:t xml:space="preserve">c = </w:t>
            </w:r>
            <w:r w:rsidRPr="000D44DC">
              <w:rPr>
                <w:color w:val="000000" w:themeColor="text1"/>
                <w:sz w:val="20"/>
                <w:szCs w:val="20"/>
              </w:rPr>
              <w:t>1,195</w:t>
            </w:r>
          </w:p>
          <w:p w:rsidR="00BF331E" w:rsidRPr="000D44DC" w:rsidRDefault="00BF331E" w:rsidP="005F0EDF">
            <w:pPr>
              <w:ind w:right="14"/>
              <w:jc w:val="center"/>
              <w:rPr>
                <w:sz w:val="20"/>
                <w:szCs w:val="20"/>
              </w:rPr>
            </w:pPr>
            <w:r w:rsidRPr="000D44DC">
              <w:rPr>
                <w:color w:val="000000" w:themeColor="text1"/>
                <w:sz w:val="20"/>
                <w:szCs w:val="20"/>
              </w:rPr>
              <w:t>γ = 31,453</w:t>
            </w:r>
          </w:p>
        </w:tc>
        <w:tc>
          <w:tcPr>
            <w:tcW w:w="1170" w:type="dxa"/>
            <w:vAlign w:val="center"/>
          </w:tcPr>
          <w:p w:rsidR="00BF331E" w:rsidRPr="000B3A8F" w:rsidRDefault="00BF331E" w:rsidP="005F0EDF">
            <w:pPr>
              <w:ind w:right="14"/>
              <w:jc w:val="center"/>
              <w:rPr>
                <w:i/>
                <w:sz w:val="22"/>
                <w:szCs w:val="22"/>
              </w:rPr>
            </w:pPr>
            <w:r w:rsidRPr="000B3A8F">
              <w:rPr>
                <w:i/>
                <w:sz w:val="22"/>
                <w:szCs w:val="22"/>
              </w:rPr>
              <w:t>Short-run</w:t>
            </w:r>
          </w:p>
        </w:tc>
        <w:tc>
          <w:tcPr>
            <w:tcW w:w="1170" w:type="dxa"/>
            <w:vAlign w:val="center"/>
          </w:tcPr>
          <w:p w:rsidR="00BF331E" w:rsidRPr="000B3A8F" w:rsidRDefault="00BF331E" w:rsidP="005F0EDF">
            <w:pPr>
              <w:ind w:right="14"/>
              <w:jc w:val="center"/>
              <w:rPr>
                <w:sz w:val="22"/>
                <w:szCs w:val="22"/>
              </w:rPr>
            </w:pPr>
            <w:r w:rsidRPr="000B3A8F">
              <w:rPr>
                <w:color w:val="000000" w:themeColor="text1"/>
                <w:sz w:val="22"/>
                <w:szCs w:val="22"/>
              </w:rPr>
              <w:t>0,010</w:t>
            </w:r>
          </w:p>
        </w:tc>
        <w:tc>
          <w:tcPr>
            <w:tcW w:w="1350" w:type="dxa"/>
            <w:vAlign w:val="center"/>
          </w:tcPr>
          <w:p w:rsidR="00BF331E" w:rsidRPr="000B3A8F" w:rsidRDefault="00BF331E" w:rsidP="005F0EDF">
            <w:pPr>
              <w:ind w:right="14"/>
              <w:jc w:val="center"/>
              <w:rPr>
                <w:sz w:val="22"/>
                <w:szCs w:val="22"/>
              </w:rPr>
            </w:pPr>
            <w:r w:rsidRPr="000B3A8F">
              <w:rPr>
                <w:color w:val="000000" w:themeColor="text1"/>
                <w:sz w:val="22"/>
                <w:szCs w:val="22"/>
              </w:rPr>
              <w:t>0,100**</w:t>
            </w:r>
          </w:p>
        </w:tc>
      </w:tr>
      <w:tr w:rsidR="00BF331E" w:rsidRPr="000B3A8F" w:rsidTr="000D44DC">
        <w:trPr>
          <w:trHeight w:val="179"/>
        </w:trPr>
        <w:tc>
          <w:tcPr>
            <w:tcW w:w="2340" w:type="dxa"/>
            <w:vMerge/>
            <w:vAlign w:val="center"/>
          </w:tcPr>
          <w:p w:rsidR="00BF331E" w:rsidRPr="000D44DC" w:rsidRDefault="00BF331E" w:rsidP="005F0EDF">
            <w:pPr>
              <w:ind w:right="14"/>
              <w:jc w:val="center"/>
              <w:rPr>
                <w:sz w:val="20"/>
                <w:szCs w:val="20"/>
              </w:rPr>
            </w:pPr>
          </w:p>
        </w:tc>
        <w:tc>
          <w:tcPr>
            <w:tcW w:w="1170" w:type="dxa"/>
            <w:vAlign w:val="center"/>
          </w:tcPr>
          <w:p w:rsidR="00BF331E" w:rsidRPr="000B3A8F" w:rsidRDefault="00BF331E" w:rsidP="005F0EDF">
            <w:pPr>
              <w:ind w:right="14"/>
              <w:jc w:val="center"/>
              <w:rPr>
                <w:i/>
                <w:sz w:val="22"/>
                <w:szCs w:val="22"/>
              </w:rPr>
            </w:pPr>
            <w:r w:rsidRPr="000B3A8F">
              <w:rPr>
                <w:i/>
                <w:sz w:val="22"/>
                <w:szCs w:val="22"/>
              </w:rPr>
              <w:t>Long-run</w:t>
            </w:r>
          </w:p>
        </w:tc>
        <w:tc>
          <w:tcPr>
            <w:tcW w:w="1170" w:type="dxa"/>
            <w:vAlign w:val="center"/>
          </w:tcPr>
          <w:p w:rsidR="00BF331E" w:rsidRPr="000B3A8F" w:rsidRDefault="00BF331E" w:rsidP="005F0EDF">
            <w:pPr>
              <w:ind w:right="14"/>
              <w:jc w:val="center"/>
              <w:rPr>
                <w:sz w:val="22"/>
                <w:szCs w:val="22"/>
              </w:rPr>
            </w:pPr>
            <w:r w:rsidRPr="000B3A8F">
              <w:rPr>
                <w:color w:val="000000" w:themeColor="text1"/>
                <w:sz w:val="22"/>
                <w:szCs w:val="22"/>
              </w:rPr>
              <w:t>-0,483</w:t>
            </w:r>
          </w:p>
        </w:tc>
        <w:tc>
          <w:tcPr>
            <w:tcW w:w="1350" w:type="dxa"/>
            <w:vAlign w:val="center"/>
          </w:tcPr>
          <w:p w:rsidR="00BF331E" w:rsidRPr="000B3A8F" w:rsidRDefault="00BF331E" w:rsidP="005F0EDF">
            <w:pPr>
              <w:ind w:right="14"/>
              <w:jc w:val="center"/>
              <w:rPr>
                <w:sz w:val="22"/>
                <w:szCs w:val="22"/>
              </w:rPr>
            </w:pPr>
            <w:r w:rsidRPr="000B3A8F">
              <w:rPr>
                <w:color w:val="000000" w:themeColor="text1"/>
                <w:sz w:val="22"/>
                <w:szCs w:val="22"/>
              </w:rPr>
              <w:t>1,396**</w:t>
            </w:r>
          </w:p>
        </w:tc>
      </w:tr>
      <w:bookmarkEnd w:id="121"/>
      <w:tr w:rsidR="00BF331E" w:rsidRPr="000B3A8F" w:rsidTr="000D44DC">
        <w:trPr>
          <w:trHeight w:val="445"/>
        </w:trPr>
        <w:tc>
          <w:tcPr>
            <w:tcW w:w="2340" w:type="dxa"/>
            <w:vMerge w:val="restart"/>
            <w:shd w:val="clear" w:color="auto" w:fill="auto"/>
            <w:vAlign w:val="center"/>
          </w:tcPr>
          <w:p w:rsidR="00BF331E" w:rsidRPr="000D44DC" w:rsidRDefault="00BF331E" w:rsidP="005F0EDF">
            <w:pPr>
              <w:ind w:right="14"/>
              <w:jc w:val="center"/>
              <w:rPr>
                <w:b/>
                <w:sz w:val="20"/>
                <w:szCs w:val="20"/>
              </w:rPr>
            </w:pPr>
            <w:r w:rsidRPr="000D44DC">
              <w:rPr>
                <w:b/>
                <w:sz w:val="20"/>
                <w:szCs w:val="20"/>
              </w:rPr>
              <w:t>Exchang rate changes</w:t>
            </w:r>
          </w:p>
          <w:p w:rsidR="00BF331E" w:rsidRPr="000D44DC" w:rsidRDefault="00BF331E" w:rsidP="005F0EDF">
            <w:pPr>
              <w:ind w:right="14"/>
              <w:jc w:val="center"/>
              <w:rPr>
                <w:sz w:val="20"/>
                <w:szCs w:val="20"/>
              </w:rPr>
            </w:pPr>
            <w:r w:rsidRPr="000D44DC">
              <w:rPr>
                <w:sz w:val="20"/>
                <w:szCs w:val="20"/>
              </w:rPr>
              <w:t xml:space="preserve">c = </w:t>
            </w:r>
            <w:r w:rsidRPr="000D44DC">
              <w:rPr>
                <w:color w:val="000000" w:themeColor="text1"/>
                <w:sz w:val="20"/>
                <w:szCs w:val="20"/>
              </w:rPr>
              <w:t>0,094</w:t>
            </w:r>
          </w:p>
          <w:p w:rsidR="00BF331E" w:rsidRPr="000D44DC" w:rsidRDefault="00BF331E" w:rsidP="005F0EDF">
            <w:pPr>
              <w:ind w:right="14"/>
              <w:jc w:val="center"/>
              <w:rPr>
                <w:color w:val="000000" w:themeColor="text1"/>
                <w:sz w:val="20"/>
                <w:szCs w:val="20"/>
              </w:rPr>
            </w:pPr>
            <w:r w:rsidRPr="000D44DC">
              <w:rPr>
                <w:color w:val="000000" w:themeColor="text1"/>
                <w:sz w:val="20"/>
                <w:szCs w:val="20"/>
              </w:rPr>
              <w:t>γ = 267,439</w:t>
            </w:r>
          </w:p>
        </w:tc>
        <w:tc>
          <w:tcPr>
            <w:tcW w:w="1170" w:type="dxa"/>
            <w:shd w:val="clear" w:color="auto" w:fill="auto"/>
            <w:vAlign w:val="center"/>
          </w:tcPr>
          <w:p w:rsidR="00BF331E" w:rsidRPr="000B3A8F" w:rsidRDefault="00BF331E" w:rsidP="005F0EDF">
            <w:pPr>
              <w:ind w:right="14"/>
              <w:jc w:val="center"/>
              <w:rPr>
                <w:i/>
                <w:sz w:val="22"/>
                <w:szCs w:val="22"/>
              </w:rPr>
            </w:pPr>
            <w:r w:rsidRPr="000B3A8F">
              <w:rPr>
                <w:i/>
                <w:sz w:val="22"/>
                <w:szCs w:val="22"/>
              </w:rPr>
              <w:t>Short-run</w:t>
            </w:r>
          </w:p>
        </w:tc>
        <w:tc>
          <w:tcPr>
            <w:tcW w:w="1170" w:type="dxa"/>
            <w:shd w:val="clear" w:color="auto" w:fill="auto"/>
            <w:vAlign w:val="center"/>
          </w:tcPr>
          <w:p w:rsidR="00BF331E" w:rsidRPr="000B3A8F" w:rsidRDefault="00BF331E" w:rsidP="005F0EDF">
            <w:pPr>
              <w:ind w:right="14"/>
              <w:jc w:val="center"/>
              <w:rPr>
                <w:sz w:val="22"/>
                <w:szCs w:val="22"/>
              </w:rPr>
            </w:pPr>
            <w:r w:rsidRPr="000B3A8F">
              <w:rPr>
                <w:color w:val="000000" w:themeColor="text1"/>
                <w:sz w:val="22"/>
                <w:szCs w:val="22"/>
              </w:rPr>
              <w:t>0,115***</w:t>
            </w:r>
          </w:p>
        </w:tc>
        <w:tc>
          <w:tcPr>
            <w:tcW w:w="1350" w:type="dxa"/>
            <w:shd w:val="clear" w:color="auto" w:fill="auto"/>
            <w:vAlign w:val="center"/>
          </w:tcPr>
          <w:p w:rsidR="00BF331E" w:rsidRPr="000B3A8F" w:rsidRDefault="00BF331E" w:rsidP="005F0EDF">
            <w:pPr>
              <w:ind w:right="14"/>
              <w:jc w:val="center"/>
              <w:rPr>
                <w:sz w:val="22"/>
                <w:szCs w:val="22"/>
              </w:rPr>
            </w:pPr>
            <w:r w:rsidRPr="000B3A8F">
              <w:rPr>
                <w:color w:val="000000" w:themeColor="text1"/>
                <w:sz w:val="22"/>
                <w:szCs w:val="22"/>
              </w:rPr>
              <w:t>-0,082***</w:t>
            </w:r>
          </w:p>
        </w:tc>
      </w:tr>
      <w:tr w:rsidR="00BF331E" w:rsidRPr="000B3A8F" w:rsidTr="000D44DC">
        <w:trPr>
          <w:trHeight w:val="328"/>
        </w:trPr>
        <w:tc>
          <w:tcPr>
            <w:tcW w:w="2340" w:type="dxa"/>
            <w:vMerge/>
            <w:shd w:val="clear" w:color="auto" w:fill="auto"/>
            <w:vAlign w:val="center"/>
          </w:tcPr>
          <w:p w:rsidR="00BF331E" w:rsidRPr="000D44DC" w:rsidRDefault="00BF331E" w:rsidP="005F0EDF">
            <w:pPr>
              <w:ind w:right="14"/>
              <w:jc w:val="center"/>
              <w:rPr>
                <w:sz w:val="20"/>
                <w:szCs w:val="20"/>
              </w:rPr>
            </w:pPr>
          </w:p>
        </w:tc>
        <w:tc>
          <w:tcPr>
            <w:tcW w:w="1170" w:type="dxa"/>
            <w:shd w:val="clear" w:color="auto" w:fill="auto"/>
            <w:vAlign w:val="center"/>
          </w:tcPr>
          <w:p w:rsidR="00BF331E" w:rsidRPr="000B3A8F" w:rsidRDefault="00BF331E" w:rsidP="005F0EDF">
            <w:pPr>
              <w:ind w:right="14"/>
              <w:jc w:val="center"/>
              <w:rPr>
                <w:i/>
                <w:sz w:val="22"/>
                <w:szCs w:val="22"/>
              </w:rPr>
            </w:pPr>
            <w:r w:rsidRPr="000B3A8F">
              <w:rPr>
                <w:i/>
                <w:sz w:val="22"/>
                <w:szCs w:val="22"/>
              </w:rPr>
              <w:t>Long-run</w:t>
            </w:r>
          </w:p>
        </w:tc>
        <w:tc>
          <w:tcPr>
            <w:tcW w:w="1170" w:type="dxa"/>
            <w:shd w:val="clear" w:color="auto" w:fill="auto"/>
            <w:vAlign w:val="center"/>
          </w:tcPr>
          <w:p w:rsidR="00BF331E" w:rsidRPr="000B3A8F" w:rsidRDefault="00BF331E" w:rsidP="005F0EDF">
            <w:pPr>
              <w:ind w:right="14"/>
              <w:jc w:val="center"/>
              <w:rPr>
                <w:sz w:val="22"/>
                <w:szCs w:val="22"/>
              </w:rPr>
            </w:pPr>
            <w:r w:rsidRPr="000B3A8F">
              <w:rPr>
                <w:color w:val="000000" w:themeColor="text1"/>
                <w:sz w:val="22"/>
                <w:szCs w:val="22"/>
              </w:rPr>
              <w:t>1,079***</w:t>
            </w:r>
          </w:p>
        </w:tc>
        <w:tc>
          <w:tcPr>
            <w:tcW w:w="1350" w:type="dxa"/>
            <w:shd w:val="clear" w:color="auto" w:fill="auto"/>
            <w:vAlign w:val="center"/>
          </w:tcPr>
          <w:p w:rsidR="00BF331E" w:rsidRPr="000B3A8F" w:rsidRDefault="00BF331E" w:rsidP="005F0EDF">
            <w:pPr>
              <w:ind w:right="14"/>
              <w:jc w:val="center"/>
              <w:rPr>
                <w:sz w:val="22"/>
                <w:szCs w:val="22"/>
              </w:rPr>
            </w:pPr>
            <w:r w:rsidRPr="000B3A8F">
              <w:rPr>
                <w:color w:val="000000" w:themeColor="text1"/>
                <w:sz w:val="22"/>
                <w:szCs w:val="22"/>
              </w:rPr>
              <w:t>-0,994***</w:t>
            </w:r>
          </w:p>
        </w:tc>
      </w:tr>
      <w:tr w:rsidR="00BF331E" w:rsidRPr="000B3A8F" w:rsidTr="000D44DC">
        <w:trPr>
          <w:trHeight w:val="481"/>
        </w:trPr>
        <w:tc>
          <w:tcPr>
            <w:tcW w:w="2340" w:type="dxa"/>
            <w:vMerge w:val="restart"/>
            <w:vAlign w:val="center"/>
          </w:tcPr>
          <w:p w:rsidR="00BF331E" w:rsidRPr="000D44DC" w:rsidRDefault="00BF331E" w:rsidP="005F0EDF">
            <w:pPr>
              <w:ind w:right="14"/>
              <w:jc w:val="center"/>
              <w:rPr>
                <w:b/>
                <w:sz w:val="20"/>
                <w:szCs w:val="20"/>
              </w:rPr>
            </w:pPr>
            <w:r w:rsidRPr="000D44DC">
              <w:rPr>
                <w:b/>
                <w:sz w:val="20"/>
                <w:szCs w:val="20"/>
              </w:rPr>
              <w:t>Exchange rate volatility</w:t>
            </w:r>
          </w:p>
          <w:p w:rsidR="00BF331E" w:rsidRPr="000D44DC" w:rsidRDefault="00BF331E" w:rsidP="005F0EDF">
            <w:pPr>
              <w:ind w:right="14"/>
              <w:jc w:val="center"/>
              <w:rPr>
                <w:sz w:val="20"/>
                <w:szCs w:val="20"/>
              </w:rPr>
            </w:pPr>
            <w:bookmarkStart w:id="122" w:name="OLE_LINK806"/>
            <w:bookmarkStart w:id="123" w:name="OLE_LINK805"/>
            <w:r w:rsidRPr="000D44DC">
              <w:rPr>
                <w:sz w:val="20"/>
                <w:szCs w:val="20"/>
              </w:rPr>
              <w:t xml:space="preserve">c = </w:t>
            </w:r>
            <w:r w:rsidRPr="000D44DC">
              <w:rPr>
                <w:color w:val="000000" w:themeColor="text1"/>
                <w:sz w:val="20"/>
                <w:szCs w:val="20"/>
              </w:rPr>
              <w:t>1,962</w:t>
            </w:r>
          </w:p>
          <w:p w:rsidR="00BF331E" w:rsidRPr="000D44DC" w:rsidRDefault="00BF331E" w:rsidP="005F0EDF">
            <w:pPr>
              <w:ind w:right="14"/>
              <w:jc w:val="center"/>
              <w:rPr>
                <w:sz w:val="20"/>
                <w:szCs w:val="20"/>
              </w:rPr>
            </w:pPr>
            <w:r w:rsidRPr="000D44DC">
              <w:rPr>
                <w:color w:val="000000" w:themeColor="text1"/>
                <w:sz w:val="20"/>
                <w:szCs w:val="20"/>
              </w:rPr>
              <w:t>γ = 8,642</w:t>
            </w:r>
            <w:bookmarkEnd w:id="122"/>
            <w:bookmarkEnd w:id="123"/>
          </w:p>
        </w:tc>
        <w:tc>
          <w:tcPr>
            <w:tcW w:w="1170" w:type="dxa"/>
            <w:vAlign w:val="center"/>
          </w:tcPr>
          <w:p w:rsidR="00BF331E" w:rsidRPr="000B3A8F" w:rsidRDefault="00BF331E" w:rsidP="005F0EDF">
            <w:pPr>
              <w:ind w:right="14"/>
              <w:jc w:val="center"/>
              <w:rPr>
                <w:i/>
                <w:sz w:val="22"/>
                <w:szCs w:val="22"/>
              </w:rPr>
            </w:pPr>
            <w:r w:rsidRPr="000B3A8F">
              <w:rPr>
                <w:i/>
                <w:sz w:val="22"/>
                <w:szCs w:val="22"/>
              </w:rPr>
              <w:t>Short-run</w:t>
            </w:r>
          </w:p>
        </w:tc>
        <w:tc>
          <w:tcPr>
            <w:tcW w:w="1170" w:type="dxa"/>
            <w:vAlign w:val="center"/>
          </w:tcPr>
          <w:p w:rsidR="00BF331E" w:rsidRPr="000B3A8F" w:rsidRDefault="00BF331E" w:rsidP="005F0EDF">
            <w:pPr>
              <w:ind w:right="14"/>
              <w:jc w:val="center"/>
              <w:rPr>
                <w:sz w:val="22"/>
                <w:szCs w:val="22"/>
              </w:rPr>
            </w:pPr>
            <w:r w:rsidRPr="000B3A8F">
              <w:rPr>
                <w:color w:val="000000" w:themeColor="text1"/>
                <w:sz w:val="22"/>
                <w:szCs w:val="22"/>
              </w:rPr>
              <w:t>-0,109**</w:t>
            </w:r>
          </w:p>
        </w:tc>
        <w:tc>
          <w:tcPr>
            <w:tcW w:w="1350" w:type="dxa"/>
            <w:vAlign w:val="center"/>
          </w:tcPr>
          <w:p w:rsidR="00BF331E" w:rsidRPr="000B3A8F" w:rsidRDefault="00BF331E" w:rsidP="005F0EDF">
            <w:pPr>
              <w:ind w:right="14"/>
              <w:jc w:val="center"/>
              <w:rPr>
                <w:sz w:val="22"/>
                <w:szCs w:val="22"/>
              </w:rPr>
            </w:pPr>
            <w:r w:rsidRPr="000B3A8F">
              <w:rPr>
                <w:color w:val="000000" w:themeColor="text1"/>
                <w:sz w:val="22"/>
                <w:szCs w:val="22"/>
              </w:rPr>
              <w:t>0,168*</w:t>
            </w:r>
          </w:p>
        </w:tc>
      </w:tr>
      <w:tr w:rsidR="00BF331E" w:rsidRPr="000B3A8F" w:rsidTr="000D44DC">
        <w:trPr>
          <w:trHeight w:val="292"/>
        </w:trPr>
        <w:tc>
          <w:tcPr>
            <w:tcW w:w="2340" w:type="dxa"/>
            <w:vMerge/>
            <w:vAlign w:val="center"/>
          </w:tcPr>
          <w:p w:rsidR="00BF331E" w:rsidRPr="000D44DC" w:rsidRDefault="00BF331E" w:rsidP="005F0EDF">
            <w:pPr>
              <w:ind w:right="14"/>
              <w:jc w:val="center"/>
              <w:rPr>
                <w:sz w:val="20"/>
                <w:szCs w:val="20"/>
              </w:rPr>
            </w:pPr>
          </w:p>
        </w:tc>
        <w:tc>
          <w:tcPr>
            <w:tcW w:w="1170" w:type="dxa"/>
            <w:vAlign w:val="center"/>
          </w:tcPr>
          <w:p w:rsidR="00BF331E" w:rsidRPr="000B3A8F" w:rsidRDefault="00BF331E" w:rsidP="005F0EDF">
            <w:pPr>
              <w:ind w:right="14"/>
              <w:jc w:val="center"/>
              <w:rPr>
                <w:i/>
                <w:sz w:val="22"/>
                <w:szCs w:val="22"/>
              </w:rPr>
            </w:pPr>
            <w:r w:rsidRPr="000B3A8F">
              <w:rPr>
                <w:i/>
                <w:sz w:val="22"/>
                <w:szCs w:val="22"/>
              </w:rPr>
              <w:t>Long-run</w:t>
            </w:r>
          </w:p>
        </w:tc>
        <w:tc>
          <w:tcPr>
            <w:tcW w:w="1170" w:type="dxa"/>
            <w:vAlign w:val="center"/>
          </w:tcPr>
          <w:p w:rsidR="00BF331E" w:rsidRPr="000B3A8F" w:rsidRDefault="00BF331E" w:rsidP="005F0EDF">
            <w:pPr>
              <w:ind w:right="14"/>
              <w:jc w:val="center"/>
              <w:rPr>
                <w:sz w:val="22"/>
                <w:szCs w:val="22"/>
              </w:rPr>
            </w:pPr>
            <w:r w:rsidRPr="000B3A8F">
              <w:rPr>
                <w:color w:val="000000" w:themeColor="text1"/>
                <w:sz w:val="22"/>
                <w:szCs w:val="22"/>
              </w:rPr>
              <w:t>-0,311</w:t>
            </w:r>
          </w:p>
        </w:tc>
        <w:tc>
          <w:tcPr>
            <w:tcW w:w="1350" w:type="dxa"/>
            <w:vAlign w:val="center"/>
          </w:tcPr>
          <w:p w:rsidR="00BF331E" w:rsidRPr="000B3A8F" w:rsidRDefault="00BF331E" w:rsidP="005F0EDF">
            <w:pPr>
              <w:ind w:right="14"/>
              <w:jc w:val="center"/>
              <w:rPr>
                <w:sz w:val="22"/>
                <w:szCs w:val="22"/>
              </w:rPr>
            </w:pPr>
            <w:r w:rsidRPr="000B3A8F">
              <w:rPr>
                <w:color w:val="000000" w:themeColor="text1"/>
                <w:sz w:val="22"/>
                <w:szCs w:val="22"/>
              </w:rPr>
              <w:t>0,738</w:t>
            </w:r>
          </w:p>
        </w:tc>
      </w:tr>
      <w:tr w:rsidR="00BF331E" w:rsidRPr="000B3A8F" w:rsidTr="000D44DC">
        <w:trPr>
          <w:trHeight w:val="313"/>
        </w:trPr>
        <w:tc>
          <w:tcPr>
            <w:tcW w:w="2340" w:type="dxa"/>
            <w:vMerge w:val="restart"/>
            <w:shd w:val="clear" w:color="auto" w:fill="auto"/>
            <w:vAlign w:val="center"/>
          </w:tcPr>
          <w:p w:rsidR="00BF331E" w:rsidRPr="000D44DC" w:rsidRDefault="00BF331E" w:rsidP="005F0EDF">
            <w:pPr>
              <w:ind w:right="14"/>
              <w:jc w:val="center"/>
              <w:rPr>
                <w:b/>
                <w:sz w:val="20"/>
                <w:szCs w:val="20"/>
              </w:rPr>
            </w:pPr>
            <w:bookmarkStart w:id="124" w:name="OLE_LINK24"/>
            <w:r w:rsidRPr="000D44DC">
              <w:rPr>
                <w:b/>
                <w:sz w:val="20"/>
                <w:szCs w:val="20"/>
              </w:rPr>
              <w:t>Economic cycle</w:t>
            </w:r>
          </w:p>
          <w:bookmarkEnd w:id="124"/>
          <w:p w:rsidR="00BF331E" w:rsidRPr="000D44DC" w:rsidRDefault="00BF331E" w:rsidP="005F0EDF">
            <w:pPr>
              <w:ind w:right="14"/>
              <w:jc w:val="center"/>
              <w:rPr>
                <w:color w:val="000000" w:themeColor="text1"/>
                <w:sz w:val="20"/>
                <w:szCs w:val="20"/>
              </w:rPr>
            </w:pPr>
            <w:r w:rsidRPr="000D44DC">
              <w:rPr>
                <w:sz w:val="20"/>
                <w:szCs w:val="20"/>
              </w:rPr>
              <w:t xml:space="preserve">c = </w:t>
            </w:r>
            <w:r w:rsidRPr="000D44DC">
              <w:rPr>
                <w:color w:val="000000" w:themeColor="text1"/>
                <w:sz w:val="20"/>
                <w:szCs w:val="20"/>
              </w:rPr>
              <w:t>0,902</w:t>
            </w:r>
          </w:p>
          <w:p w:rsidR="00BF331E" w:rsidRPr="000D44DC" w:rsidRDefault="00BF331E" w:rsidP="005F0EDF">
            <w:pPr>
              <w:ind w:right="14"/>
              <w:jc w:val="center"/>
              <w:rPr>
                <w:sz w:val="20"/>
                <w:szCs w:val="20"/>
              </w:rPr>
            </w:pPr>
            <w:bookmarkStart w:id="125" w:name="OLE_LINK802"/>
            <w:bookmarkStart w:id="126" w:name="OLE_LINK801"/>
            <w:r w:rsidRPr="000D44DC">
              <w:rPr>
                <w:color w:val="000000" w:themeColor="text1"/>
                <w:sz w:val="20"/>
                <w:szCs w:val="20"/>
              </w:rPr>
              <w:t>γ =</w:t>
            </w:r>
            <w:bookmarkEnd w:id="125"/>
            <w:bookmarkEnd w:id="126"/>
            <w:r w:rsidRPr="000D44DC">
              <w:rPr>
                <w:color w:val="000000" w:themeColor="text1"/>
                <w:sz w:val="20"/>
                <w:szCs w:val="20"/>
              </w:rPr>
              <w:t xml:space="preserve"> 63,338</w:t>
            </w:r>
          </w:p>
        </w:tc>
        <w:tc>
          <w:tcPr>
            <w:tcW w:w="1170" w:type="dxa"/>
            <w:shd w:val="clear" w:color="auto" w:fill="auto"/>
            <w:vAlign w:val="center"/>
          </w:tcPr>
          <w:p w:rsidR="00BF331E" w:rsidRPr="000B3A8F" w:rsidRDefault="00BF331E" w:rsidP="005F0EDF">
            <w:pPr>
              <w:ind w:right="14"/>
              <w:jc w:val="center"/>
              <w:rPr>
                <w:i/>
                <w:sz w:val="22"/>
                <w:szCs w:val="22"/>
              </w:rPr>
            </w:pPr>
            <w:r w:rsidRPr="000B3A8F">
              <w:rPr>
                <w:i/>
                <w:sz w:val="22"/>
                <w:szCs w:val="22"/>
              </w:rPr>
              <w:t>Short-run</w:t>
            </w:r>
          </w:p>
        </w:tc>
        <w:tc>
          <w:tcPr>
            <w:tcW w:w="1170" w:type="dxa"/>
            <w:shd w:val="clear" w:color="auto" w:fill="auto"/>
            <w:vAlign w:val="center"/>
          </w:tcPr>
          <w:p w:rsidR="00BF331E" w:rsidRPr="000B3A8F" w:rsidRDefault="00BF331E" w:rsidP="005F0EDF">
            <w:pPr>
              <w:ind w:right="14"/>
              <w:jc w:val="center"/>
              <w:rPr>
                <w:sz w:val="22"/>
                <w:szCs w:val="22"/>
              </w:rPr>
            </w:pPr>
            <w:r w:rsidRPr="000B3A8F">
              <w:rPr>
                <w:color w:val="000000" w:themeColor="text1"/>
                <w:sz w:val="22"/>
                <w:szCs w:val="22"/>
              </w:rPr>
              <w:t>0,105**</w:t>
            </w:r>
          </w:p>
        </w:tc>
        <w:tc>
          <w:tcPr>
            <w:tcW w:w="1350" w:type="dxa"/>
            <w:shd w:val="clear" w:color="auto" w:fill="auto"/>
            <w:vAlign w:val="center"/>
          </w:tcPr>
          <w:p w:rsidR="00BF331E" w:rsidRPr="000B3A8F" w:rsidRDefault="00BF331E" w:rsidP="005F0EDF">
            <w:pPr>
              <w:ind w:right="14"/>
              <w:jc w:val="center"/>
              <w:rPr>
                <w:sz w:val="22"/>
                <w:szCs w:val="22"/>
              </w:rPr>
            </w:pPr>
            <w:r w:rsidRPr="000B3A8F">
              <w:rPr>
                <w:color w:val="000000" w:themeColor="text1"/>
                <w:sz w:val="22"/>
                <w:szCs w:val="22"/>
              </w:rPr>
              <w:t>-0,038</w:t>
            </w:r>
          </w:p>
        </w:tc>
      </w:tr>
      <w:tr w:rsidR="00BF331E" w:rsidRPr="000B3A8F" w:rsidTr="000D44DC">
        <w:trPr>
          <w:trHeight w:val="200"/>
        </w:trPr>
        <w:tc>
          <w:tcPr>
            <w:tcW w:w="2340" w:type="dxa"/>
            <w:vMerge/>
            <w:shd w:val="clear" w:color="auto" w:fill="auto"/>
            <w:vAlign w:val="center"/>
          </w:tcPr>
          <w:p w:rsidR="00BF331E" w:rsidRPr="000D44DC" w:rsidRDefault="00BF331E" w:rsidP="005F0EDF">
            <w:pPr>
              <w:ind w:right="14"/>
              <w:jc w:val="center"/>
              <w:rPr>
                <w:sz w:val="20"/>
                <w:szCs w:val="20"/>
              </w:rPr>
            </w:pPr>
          </w:p>
        </w:tc>
        <w:tc>
          <w:tcPr>
            <w:tcW w:w="1170" w:type="dxa"/>
            <w:shd w:val="clear" w:color="auto" w:fill="auto"/>
            <w:vAlign w:val="center"/>
          </w:tcPr>
          <w:p w:rsidR="00BF331E" w:rsidRPr="000B3A8F" w:rsidRDefault="00BF331E" w:rsidP="005F0EDF">
            <w:pPr>
              <w:ind w:right="14"/>
              <w:jc w:val="center"/>
              <w:rPr>
                <w:i/>
                <w:sz w:val="22"/>
                <w:szCs w:val="22"/>
              </w:rPr>
            </w:pPr>
            <w:r w:rsidRPr="000B3A8F">
              <w:rPr>
                <w:i/>
                <w:sz w:val="22"/>
                <w:szCs w:val="22"/>
              </w:rPr>
              <w:t>Long-run</w:t>
            </w:r>
          </w:p>
        </w:tc>
        <w:tc>
          <w:tcPr>
            <w:tcW w:w="1170" w:type="dxa"/>
            <w:shd w:val="clear" w:color="auto" w:fill="auto"/>
            <w:vAlign w:val="center"/>
          </w:tcPr>
          <w:p w:rsidR="00BF331E" w:rsidRPr="000B3A8F" w:rsidRDefault="00BF331E" w:rsidP="005F0EDF">
            <w:pPr>
              <w:ind w:right="14"/>
              <w:jc w:val="center"/>
              <w:rPr>
                <w:sz w:val="22"/>
                <w:szCs w:val="22"/>
              </w:rPr>
            </w:pPr>
            <w:r w:rsidRPr="000B3A8F">
              <w:rPr>
                <w:color w:val="000000" w:themeColor="text1"/>
                <w:sz w:val="22"/>
                <w:szCs w:val="22"/>
              </w:rPr>
              <w:t>-0,145</w:t>
            </w:r>
          </w:p>
        </w:tc>
        <w:tc>
          <w:tcPr>
            <w:tcW w:w="1350" w:type="dxa"/>
            <w:shd w:val="clear" w:color="auto" w:fill="auto"/>
            <w:vAlign w:val="center"/>
          </w:tcPr>
          <w:p w:rsidR="00BF331E" w:rsidRPr="000B3A8F" w:rsidRDefault="00BF331E" w:rsidP="005F0EDF">
            <w:pPr>
              <w:ind w:right="14"/>
              <w:jc w:val="center"/>
              <w:rPr>
                <w:sz w:val="22"/>
                <w:szCs w:val="22"/>
              </w:rPr>
            </w:pPr>
            <w:r w:rsidRPr="000B3A8F">
              <w:rPr>
                <w:color w:val="000000" w:themeColor="text1"/>
                <w:sz w:val="22"/>
                <w:szCs w:val="22"/>
              </w:rPr>
              <w:t>0,166</w:t>
            </w:r>
          </w:p>
        </w:tc>
      </w:tr>
      <w:tr w:rsidR="00BF331E" w:rsidRPr="000B3A8F" w:rsidTr="000D44DC">
        <w:trPr>
          <w:trHeight w:val="409"/>
        </w:trPr>
        <w:tc>
          <w:tcPr>
            <w:tcW w:w="2340" w:type="dxa"/>
            <w:vMerge w:val="restart"/>
            <w:vAlign w:val="center"/>
          </w:tcPr>
          <w:p w:rsidR="00BF331E" w:rsidRPr="000D44DC" w:rsidRDefault="00BF331E" w:rsidP="005F0EDF">
            <w:pPr>
              <w:ind w:right="14"/>
              <w:jc w:val="center"/>
              <w:rPr>
                <w:b/>
                <w:sz w:val="20"/>
                <w:szCs w:val="20"/>
              </w:rPr>
            </w:pPr>
            <w:r w:rsidRPr="000D44DC">
              <w:rPr>
                <w:b/>
                <w:sz w:val="20"/>
                <w:szCs w:val="20"/>
              </w:rPr>
              <w:t>Trade openness</w:t>
            </w:r>
          </w:p>
          <w:p w:rsidR="00BF331E" w:rsidRPr="000D44DC" w:rsidRDefault="00BF331E" w:rsidP="005F0EDF">
            <w:pPr>
              <w:ind w:right="14"/>
              <w:jc w:val="center"/>
              <w:rPr>
                <w:sz w:val="20"/>
                <w:szCs w:val="20"/>
              </w:rPr>
            </w:pPr>
            <w:r w:rsidRPr="000D44DC">
              <w:rPr>
                <w:color w:val="000000" w:themeColor="text1"/>
                <w:sz w:val="20"/>
                <w:szCs w:val="20"/>
              </w:rPr>
              <w:t>c = 0,017</w:t>
            </w:r>
            <w:r w:rsidRPr="000D44DC">
              <w:rPr>
                <w:color w:val="000000" w:themeColor="text1"/>
                <w:sz w:val="20"/>
                <w:szCs w:val="20"/>
              </w:rPr>
              <w:br/>
            </w:r>
            <w:bookmarkStart w:id="127" w:name="OLE_LINK796"/>
            <w:bookmarkStart w:id="128" w:name="OLE_LINK795"/>
            <w:r w:rsidRPr="000D44DC">
              <w:rPr>
                <w:color w:val="000000" w:themeColor="text1"/>
                <w:sz w:val="20"/>
                <w:szCs w:val="20"/>
              </w:rPr>
              <w:t>γ</w:t>
            </w:r>
            <w:bookmarkEnd w:id="127"/>
            <w:bookmarkEnd w:id="128"/>
            <w:r w:rsidRPr="000D44DC">
              <w:rPr>
                <w:color w:val="000000" w:themeColor="text1"/>
                <w:sz w:val="20"/>
                <w:szCs w:val="20"/>
              </w:rPr>
              <w:t xml:space="preserve"> = 915,061</w:t>
            </w:r>
          </w:p>
        </w:tc>
        <w:tc>
          <w:tcPr>
            <w:tcW w:w="1170" w:type="dxa"/>
            <w:vAlign w:val="center"/>
          </w:tcPr>
          <w:p w:rsidR="00BF331E" w:rsidRPr="000B3A8F" w:rsidRDefault="00BF331E" w:rsidP="005F0EDF">
            <w:pPr>
              <w:ind w:right="14"/>
              <w:jc w:val="center"/>
              <w:rPr>
                <w:i/>
                <w:sz w:val="22"/>
                <w:szCs w:val="22"/>
              </w:rPr>
            </w:pPr>
            <w:r w:rsidRPr="000B3A8F">
              <w:rPr>
                <w:i/>
                <w:sz w:val="22"/>
                <w:szCs w:val="22"/>
              </w:rPr>
              <w:t>Short-run</w:t>
            </w:r>
          </w:p>
        </w:tc>
        <w:tc>
          <w:tcPr>
            <w:tcW w:w="1170" w:type="dxa"/>
            <w:vAlign w:val="center"/>
          </w:tcPr>
          <w:p w:rsidR="00BF331E" w:rsidRPr="000B3A8F" w:rsidRDefault="00BF331E" w:rsidP="005F0EDF">
            <w:pPr>
              <w:ind w:right="14"/>
              <w:jc w:val="center"/>
              <w:rPr>
                <w:sz w:val="22"/>
                <w:szCs w:val="22"/>
              </w:rPr>
            </w:pPr>
            <w:r w:rsidRPr="000B3A8F">
              <w:rPr>
                <w:color w:val="000000" w:themeColor="text1"/>
                <w:sz w:val="22"/>
                <w:szCs w:val="22"/>
              </w:rPr>
              <w:t>0,119</w:t>
            </w:r>
          </w:p>
        </w:tc>
        <w:tc>
          <w:tcPr>
            <w:tcW w:w="1350" w:type="dxa"/>
            <w:vAlign w:val="center"/>
          </w:tcPr>
          <w:p w:rsidR="00BF331E" w:rsidRPr="000B3A8F" w:rsidRDefault="00BF331E" w:rsidP="005F0EDF">
            <w:pPr>
              <w:ind w:right="14"/>
              <w:jc w:val="center"/>
              <w:rPr>
                <w:sz w:val="22"/>
                <w:szCs w:val="22"/>
              </w:rPr>
            </w:pPr>
            <w:r w:rsidRPr="000B3A8F">
              <w:rPr>
                <w:color w:val="000000" w:themeColor="text1"/>
                <w:sz w:val="22"/>
                <w:szCs w:val="22"/>
              </w:rPr>
              <w:t>-0,189</w:t>
            </w:r>
          </w:p>
        </w:tc>
      </w:tr>
      <w:tr w:rsidR="00BF331E" w:rsidRPr="000B3A8F" w:rsidTr="000D44DC">
        <w:trPr>
          <w:trHeight w:val="272"/>
        </w:trPr>
        <w:tc>
          <w:tcPr>
            <w:tcW w:w="2340" w:type="dxa"/>
            <w:vMerge/>
            <w:vAlign w:val="center"/>
          </w:tcPr>
          <w:p w:rsidR="00BF331E" w:rsidRPr="000B3A8F" w:rsidRDefault="00BF331E" w:rsidP="005F0EDF">
            <w:pPr>
              <w:ind w:right="14"/>
              <w:jc w:val="center"/>
              <w:rPr>
                <w:sz w:val="22"/>
                <w:szCs w:val="22"/>
              </w:rPr>
            </w:pPr>
          </w:p>
        </w:tc>
        <w:tc>
          <w:tcPr>
            <w:tcW w:w="1170" w:type="dxa"/>
            <w:vAlign w:val="center"/>
          </w:tcPr>
          <w:p w:rsidR="00BF331E" w:rsidRPr="000B3A8F" w:rsidRDefault="00BF331E" w:rsidP="005F0EDF">
            <w:pPr>
              <w:ind w:right="14"/>
              <w:jc w:val="center"/>
              <w:rPr>
                <w:i/>
                <w:sz w:val="22"/>
                <w:szCs w:val="22"/>
              </w:rPr>
            </w:pPr>
            <w:r w:rsidRPr="000B3A8F">
              <w:rPr>
                <w:i/>
                <w:sz w:val="22"/>
                <w:szCs w:val="22"/>
              </w:rPr>
              <w:t>Long-run</w:t>
            </w:r>
          </w:p>
        </w:tc>
        <w:tc>
          <w:tcPr>
            <w:tcW w:w="1170" w:type="dxa"/>
            <w:vAlign w:val="center"/>
          </w:tcPr>
          <w:p w:rsidR="00BF331E" w:rsidRPr="000B3A8F" w:rsidRDefault="00BF331E" w:rsidP="005F0EDF">
            <w:pPr>
              <w:ind w:right="14"/>
              <w:jc w:val="center"/>
              <w:rPr>
                <w:sz w:val="22"/>
                <w:szCs w:val="22"/>
              </w:rPr>
            </w:pPr>
            <w:r w:rsidRPr="000B3A8F">
              <w:rPr>
                <w:color w:val="000000" w:themeColor="text1"/>
                <w:sz w:val="22"/>
                <w:szCs w:val="22"/>
              </w:rPr>
              <w:t>0,779**</w:t>
            </w:r>
          </w:p>
        </w:tc>
        <w:tc>
          <w:tcPr>
            <w:tcW w:w="1350" w:type="dxa"/>
            <w:vAlign w:val="center"/>
          </w:tcPr>
          <w:p w:rsidR="00BF331E" w:rsidRPr="000B3A8F" w:rsidRDefault="00BF331E" w:rsidP="005F0EDF">
            <w:pPr>
              <w:ind w:right="14"/>
              <w:jc w:val="center"/>
              <w:rPr>
                <w:sz w:val="22"/>
                <w:szCs w:val="22"/>
              </w:rPr>
            </w:pPr>
            <w:r w:rsidRPr="000B3A8F">
              <w:rPr>
                <w:color w:val="000000" w:themeColor="text1"/>
                <w:sz w:val="22"/>
                <w:szCs w:val="22"/>
              </w:rPr>
              <w:t>-1,211</w:t>
            </w:r>
          </w:p>
        </w:tc>
      </w:tr>
    </w:tbl>
    <w:p w:rsidR="00716597" w:rsidRPr="000B3A8F" w:rsidRDefault="00F11A51" w:rsidP="000B3A8F">
      <w:pPr>
        <w:spacing w:line="340" w:lineRule="exact"/>
        <w:jc w:val="both"/>
        <w:rPr>
          <w:color w:val="000000" w:themeColor="text1"/>
          <w:sz w:val="22"/>
          <w:szCs w:val="22"/>
        </w:rPr>
      </w:pPr>
      <w:bookmarkStart w:id="129" w:name="OLE_LINK484"/>
      <w:bookmarkStart w:id="130" w:name="OLE_LINK489"/>
      <w:bookmarkStart w:id="131" w:name="OLE_LINK28"/>
      <w:bookmarkStart w:id="132" w:name="OLE_LINK29"/>
      <w:bookmarkStart w:id="133" w:name="OLE_LINK212"/>
      <w:bookmarkStart w:id="134" w:name="OLE_LINK213"/>
      <w:bookmarkEnd w:id="117"/>
      <w:bookmarkEnd w:id="118"/>
      <w:bookmarkEnd w:id="119"/>
      <w:bookmarkEnd w:id="120"/>
      <w:r w:rsidRPr="000B3A8F">
        <w:rPr>
          <w:color w:val="000000" w:themeColor="text1"/>
          <w:sz w:val="22"/>
          <w:szCs w:val="22"/>
        </w:rPr>
        <w:t>Firstly, the exchange rate pass-through in Vietnam will positively correlate with the level of inflation in the economy in the short and long run. When the inflation rate in the economy is greater than the threshold of 1.195%/month, the pass-through will increase significantly. Therefore, the government should implement stabilization policies to keep average monthly inflation below the threshold to avoid creating persistent expectations in inflation to contribute to the increase in exchange rate pass-through.</w:t>
      </w:r>
    </w:p>
    <w:p w:rsidR="00DE1AC5" w:rsidRPr="000B3A8F" w:rsidRDefault="00DE1AC5" w:rsidP="000B3A8F">
      <w:pPr>
        <w:spacing w:line="340" w:lineRule="exact"/>
        <w:jc w:val="both"/>
        <w:rPr>
          <w:color w:val="000000" w:themeColor="text1"/>
          <w:sz w:val="22"/>
          <w:szCs w:val="22"/>
        </w:rPr>
      </w:pPr>
      <w:r w:rsidRPr="000B3A8F">
        <w:rPr>
          <w:color w:val="000000" w:themeColor="text1"/>
          <w:sz w:val="22"/>
          <w:szCs w:val="22"/>
        </w:rPr>
        <w:t xml:space="preserve">Secondly, there is an inverse relationship in the short and long run between the change in the exchange rate and the exchange rate pass-through. This suggests that there is no evidence of short or long-term “menu cost” issues but that there is evidence of “market share problem” during the research period in Vietnam. Results from the </w:t>
      </w:r>
      <w:r w:rsidRPr="000B3A8F">
        <w:rPr>
          <w:color w:val="000000" w:themeColor="text1"/>
          <w:sz w:val="22"/>
          <w:szCs w:val="22"/>
        </w:rPr>
        <w:lastRenderedPageBreak/>
        <w:t xml:space="preserve">study show that firms will adjust prices in response to sub-threshold changes in exchange rates ignoring the issue of menu costs. However, the pressure of holding market share will partly cause businesses to limit price adjustments when the exchange rate fluctuates beyond the threshold. Small and gradual changes in selling prices due to exchange rate changes may be less noticeable to consumers than a sudden, large change in price. Through this evidence, it </w:t>
      </w:r>
      <w:proofErr w:type="gramStart"/>
      <w:r w:rsidRPr="000B3A8F">
        <w:rPr>
          <w:color w:val="000000" w:themeColor="text1"/>
          <w:sz w:val="22"/>
          <w:szCs w:val="22"/>
        </w:rPr>
        <w:t>can be seen</w:t>
      </w:r>
      <w:proofErr w:type="gramEnd"/>
      <w:r w:rsidRPr="000B3A8F">
        <w:rPr>
          <w:color w:val="000000" w:themeColor="text1"/>
          <w:sz w:val="22"/>
          <w:szCs w:val="22"/>
        </w:rPr>
        <w:t xml:space="preserve"> that the market share factor is always concerned by businesses.</w:t>
      </w:r>
    </w:p>
    <w:p w:rsidR="00B63782" w:rsidRPr="000B3A8F" w:rsidRDefault="00191DE2" w:rsidP="000B3A8F">
      <w:pPr>
        <w:spacing w:line="340" w:lineRule="exact"/>
        <w:jc w:val="both"/>
        <w:rPr>
          <w:color w:val="000000" w:themeColor="text1"/>
          <w:sz w:val="22"/>
          <w:szCs w:val="22"/>
        </w:rPr>
      </w:pPr>
      <w:r w:rsidRPr="000B3A8F">
        <w:rPr>
          <w:color w:val="000000" w:themeColor="text1"/>
          <w:sz w:val="22"/>
          <w:szCs w:val="22"/>
        </w:rPr>
        <w:t xml:space="preserve">Therefore, the government needs solutions to promote fair competition of businesses in the economy and limit monopolies, especially monopolies in essential commodities such as gasoline, medicine, electricity, </w:t>
      </w:r>
      <w:proofErr w:type="gramStart"/>
      <w:r w:rsidRPr="000B3A8F">
        <w:rPr>
          <w:color w:val="000000" w:themeColor="text1"/>
          <w:sz w:val="22"/>
          <w:szCs w:val="22"/>
        </w:rPr>
        <w:t>telecommunications</w:t>
      </w:r>
      <w:proofErr w:type="gramEnd"/>
      <w:r w:rsidRPr="000B3A8F">
        <w:rPr>
          <w:color w:val="000000" w:themeColor="text1"/>
          <w:sz w:val="22"/>
          <w:szCs w:val="22"/>
        </w:rPr>
        <w:t>. That can be a suggestion for the policy to stabilize inflation in the long term. Because the fair competition of businesses will make businesses more careful every time they change their selling prices, especially during periods of strong exchange rate fluctuations. In the long term, the government also needs to keep the exchange rate stable at a reasonable level.  Because when exchange rate fluctuations exceed the threshold and persistently will reduce the tolerance of businesses and the race to keep market share will beat turn on small and vulnerable businesses.</w:t>
      </w:r>
    </w:p>
    <w:p w:rsidR="0085761C" w:rsidRPr="000B3A8F" w:rsidRDefault="0085761C" w:rsidP="000B3A8F">
      <w:pPr>
        <w:spacing w:line="340" w:lineRule="exact"/>
        <w:jc w:val="both"/>
        <w:rPr>
          <w:color w:val="000000" w:themeColor="text1"/>
          <w:sz w:val="22"/>
          <w:szCs w:val="22"/>
        </w:rPr>
      </w:pPr>
      <w:r w:rsidRPr="000B3A8F">
        <w:rPr>
          <w:color w:val="000000" w:themeColor="text1"/>
          <w:sz w:val="22"/>
          <w:szCs w:val="22"/>
        </w:rPr>
        <w:t xml:space="preserve">Next, the results show that firms will pass on more exchange rate changes to prices when they perceive the exchange rate risk in the market increasing. When the level of exchange rate risk is </w:t>
      </w:r>
      <w:proofErr w:type="gramStart"/>
      <w:r w:rsidRPr="000B3A8F">
        <w:rPr>
          <w:color w:val="000000" w:themeColor="text1"/>
          <w:sz w:val="22"/>
          <w:szCs w:val="22"/>
        </w:rPr>
        <w:t>low</w:t>
      </w:r>
      <w:proofErr w:type="gramEnd"/>
      <w:r w:rsidRPr="000B3A8F">
        <w:rPr>
          <w:color w:val="000000" w:themeColor="text1"/>
          <w:sz w:val="22"/>
          <w:szCs w:val="22"/>
        </w:rPr>
        <w:t xml:space="preserve"> (the price fluctuation is irregular and sudden), businesses will suffer to maintain market share, but when the volatility in exchange rate increases, the business will act against Bringing these fluctuations into the price causes the pass-through to increase. Thus, the solution to </w:t>
      </w:r>
      <w:r w:rsidRPr="000B3A8F">
        <w:rPr>
          <w:color w:val="000000" w:themeColor="text1"/>
          <w:sz w:val="22"/>
          <w:szCs w:val="22"/>
        </w:rPr>
        <w:lastRenderedPageBreak/>
        <w:t xml:space="preserve">promote healthy competition is still useful in this situation to control inflation naturally. In the context of integration, the flexibility of the exchange rate will gradually increase to absorb shocks, </w:t>
      </w:r>
      <w:proofErr w:type="gramStart"/>
      <w:r w:rsidRPr="000B3A8F">
        <w:rPr>
          <w:color w:val="000000" w:themeColor="text1"/>
          <w:sz w:val="22"/>
          <w:szCs w:val="22"/>
        </w:rPr>
        <w:t>then</w:t>
      </w:r>
      <w:proofErr w:type="gramEnd"/>
      <w:r w:rsidRPr="000B3A8F">
        <w:rPr>
          <w:color w:val="000000" w:themeColor="text1"/>
          <w:sz w:val="22"/>
          <w:szCs w:val="22"/>
        </w:rPr>
        <w:t xml:space="preserve"> synchronize with it, the government must promote the level of competition in the economy to partially curb inflation. Large and sudden exchange rate shocks could be an amplifying factor for inflation in the economy.</w:t>
      </w:r>
    </w:p>
    <w:p w:rsidR="00B63782" w:rsidRPr="000B3A8F" w:rsidRDefault="002A5D27" w:rsidP="000B3A8F">
      <w:pPr>
        <w:spacing w:line="340" w:lineRule="exact"/>
        <w:jc w:val="both"/>
        <w:rPr>
          <w:color w:val="000000" w:themeColor="text1"/>
          <w:sz w:val="22"/>
          <w:szCs w:val="22"/>
        </w:rPr>
      </w:pPr>
      <w:bookmarkStart w:id="135" w:name="OLE_LINK37"/>
      <w:bookmarkStart w:id="136" w:name="OLE_LINK38"/>
      <w:r w:rsidRPr="000B3A8F">
        <w:rPr>
          <w:color w:val="000000" w:themeColor="text1"/>
          <w:sz w:val="22"/>
          <w:szCs w:val="22"/>
        </w:rPr>
        <w:t>Besides</w:t>
      </w:r>
      <w:r w:rsidR="00B63782" w:rsidRPr="000B3A8F">
        <w:rPr>
          <w:color w:val="000000" w:themeColor="text1"/>
          <w:sz w:val="22"/>
          <w:szCs w:val="22"/>
        </w:rPr>
        <w:t xml:space="preserve">, the results from the study show that the transmission level is </w:t>
      </w:r>
      <w:r w:rsidR="0085761C" w:rsidRPr="000B3A8F">
        <w:rPr>
          <w:color w:val="000000" w:themeColor="text1"/>
          <w:sz w:val="22"/>
          <w:szCs w:val="22"/>
        </w:rPr>
        <w:t xml:space="preserve">negative </w:t>
      </w:r>
      <w:r w:rsidR="00B63782" w:rsidRPr="000B3A8F">
        <w:rPr>
          <w:color w:val="000000" w:themeColor="text1"/>
          <w:sz w:val="22"/>
          <w:szCs w:val="22"/>
        </w:rPr>
        <w:t xml:space="preserve">with the short-term economic cycle but positively with the long-term economic cycle. In the short term, when the economy booms, it will reduce the transmission rate, but in the long term when the economy is favorable, the transmission rate will increase, so the government should </w:t>
      </w:r>
      <w:proofErr w:type="gramStart"/>
      <w:r w:rsidR="00B63782" w:rsidRPr="000B3A8F">
        <w:rPr>
          <w:color w:val="000000" w:themeColor="text1"/>
          <w:sz w:val="22"/>
          <w:szCs w:val="22"/>
        </w:rPr>
        <w:t>take this into account</w:t>
      </w:r>
      <w:proofErr w:type="gramEnd"/>
      <w:r w:rsidR="00B63782" w:rsidRPr="000B3A8F">
        <w:rPr>
          <w:color w:val="000000" w:themeColor="text1"/>
          <w:sz w:val="22"/>
          <w:szCs w:val="22"/>
        </w:rPr>
        <w:t xml:space="preserve"> in the process of operating the economy. Because, when the economy is in a period of high and continuous growth, it will create favorable conditions for businesses to translate changes in exchange rates into selling prices, so the government needs to intervene properly to avoid inflation outbreaks in these periods.</w:t>
      </w:r>
    </w:p>
    <w:p w:rsidR="009B6E3D" w:rsidRPr="000B3A8F" w:rsidRDefault="008A4294" w:rsidP="000B3A8F">
      <w:pPr>
        <w:spacing w:line="340" w:lineRule="exact"/>
        <w:jc w:val="both"/>
        <w:rPr>
          <w:color w:val="000000" w:themeColor="text1"/>
          <w:sz w:val="22"/>
          <w:szCs w:val="22"/>
        </w:rPr>
      </w:pPr>
      <w:bookmarkStart w:id="137" w:name="OLE_LINK2"/>
      <w:bookmarkStart w:id="138" w:name="OLE_LINK4"/>
      <w:bookmarkEnd w:id="129"/>
      <w:bookmarkEnd w:id="130"/>
      <w:bookmarkEnd w:id="131"/>
      <w:bookmarkEnd w:id="132"/>
      <w:bookmarkEnd w:id="135"/>
      <w:bookmarkEnd w:id="136"/>
      <w:r w:rsidRPr="000B3A8F">
        <w:rPr>
          <w:color w:val="000000" w:themeColor="text1"/>
          <w:sz w:val="22"/>
          <w:szCs w:val="22"/>
        </w:rPr>
        <w:t>Lastly</w:t>
      </w:r>
      <w:r w:rsidR="0012403F" w:rsidRPr="000B3A8F">
        <w:rPr>
          <w:color w:val="000000" w:themeColor="text1"/>
          <w:sz w:val="22"/>
          <w:szCs w:val="22"/>
        </w:rPr>
        <w:t xml:space="preserve">, </w:t>
      </w:r>
      <w:r w:rsidR="00D16264" w:rsidRPr="000B3A8F">
        <w:rPr>
          <w:color w:val="000000" w:themeColor="text1"/>
          <w:sz w:val="22"/>
          <w:szCs w:val="22"/>
        </w:rPr>
        <w:t xml:space="preserve">the trade openness shows that the market opening is </w:t>
      </w:r>
      <w:proofErr w:type="gramStart"/>
      <w:r w:rsidR="00D16264" w:rsidRPr="000B3A8F">
        <w:rPr>
          <w:color w:val="000000" w:themeColor="text1"/>
          <w:sz w:val="22"/>
          <w:szCs w:val="22"/>
        </w:rPr>
        <w:t>low,</w:t>
      </w:r>
      <w:proofErr w:type="gramEnd"/>
      <w:r w:rsidR="00D16264" w:rsidRPr="000B3A8F">
        <w:rPr>
          <w:color w:val="000000" w:themeColor="text1"/>
          <w:sz w:val="22"/>
          <w:szCs w:val="22"/>
        </w:rPr>
        <w:t xml:space="preserve"> the pass-through will be higher than when the economy is more open in the short and long term. This shows that the competitive pressure between enterprises when the economy is more open contributes to reducing the pass-through of exchange rates into prices. Thus, the policy of opening up the economy to welcome foreign enterprises to do business in Vietnam can bring about a more competitive environment, thereby helping to neutralize the movement </w:t>
      </w:r>
      <w:r w:rsidR="002A5D27" w:rsidRPr="000B3A8F">
        <w:rPr>
          <w:color w:val="000000" w:themeColor="text1"/>
          <w:sz w:val="22"/>
          <w:szCs w:val="22"/>
        </w:rPr>
        <w:t>in exchange rates to the levels</w:t>
      </w:r>
      <w:r w:rsidR="00D16264" w:rsidRPr="000B3A8F">
        <w:rPr>
          <w:color w:val="000000" w:themeColor="text1"/>
          <w:sz w:val="22"/>
          <w:szCs w:val="22"/>
        </w:rPr>
        <w:t xml:space="preserve"> price.</w:t>
      </w:r>
    </w:p>
    <w:p w:rsidR="00FB2B98" w:rsidRDefault="00FB2B98" w:rsidP="000B3A8F">
      <w:pPr>
        <w:pStyle w:val="Heading1"/>
        <w:spacing w:line="340" w:lineRule="exact"/>
        <w:rPr>
          <w:rFonts w:ascii="Times New Roman" w:hAnsi="Times New Roman" w:cs="Times New Roman"/>
          <w:b/>
          <w:color w:val="auto"/>
          <w:sz w:val="22"/>
          <w:szCs w:val="22"/>
        </w:rPr>
        <w:sectPr w:rsidR="00FB2B98" w:rsidSect="003B276F">
          <w:headerReference w:type="default" r:id="rId8"/>
          <w:pgSz w:w="8391" w:h="11907" w:code="11"/>
          <w:pgMar w:top="1138" w:right="1138" w:bottom="1138" w:left="1138" w:header="720" w:footer="720" w:gutter="0"/>
          <w:pgNumType w:start="1"/>
          <w:cols w:space="720"/>
          <w:docGrid w:linePitch="360"/>
        </w:sectPr>
      </w:pPr>
      <w:bookmarkStart w:id="139" w:name="OLE_LINK1023"/>
      <w:bookmarkStart w:id="140" w:name="OLE_LINK1024"/>
      <w:bookmarkStart w:id="141" w:name="_Toc18310363"/>
      <w:bookmarkStart w:id="142" w:name="OLE_LINK1025"/>
      <w:bookmarkStart w:id="143" w:name="OLE_LINK1026"/>
      <w:bookmarkEnd w:id="137"/>
      <w:bookmarkEnd w:id="138"/>
    </w:p>
    <w:p w:rsidR="009B6E3D" w:rsidRPr="000B3A8F" w:rsidRDefault="00FF7B93" w:rsidP="000B3A8F">
      <w:pPr>
        <w:pStyle w:val="Heading1"/>
        <w:spacing w:line="340" w:lineRule="exact"/>
        <w:rPr>
          <w:rFonts w:ascii="Times New Roman" w:hAnsi="Times New Roman" w:cs="Times New Roman"/>
          <w:b/>
          <w:color w:val="auto"/>
          <w:sz w:val="22"/>
          <w:szCs w:val="22"/>
        </w:rPr>
      </w:pPr>
      <w:r w:rsidRPr="000B3A8F">
        <w:rPr>
          <w:rFonts w:ascii="Times New Roman" w:hAnsi="Times New Roman" w:cs="Times New Roman"/>
          <w:b/>
          <w:color w:val="auto"/>
          <w:sz w:val="22"/>
          <w:szCs w:val="22"/>
        </w:rPr>
        <w:lastRenderedPageBreak/>
        <w:t xml:space="preserve">THESIS-RELATED LIST OF AUTHOR’S PUBLICATIONS </w:t>
      </w:r>
      <w:bookmarkEnd w:id="139"/>
      <w:bookmarkEnd w:id="140"/>
    </w:p>
    <w:p w:rsidR="009531B4" w:rsidRPr="000B3A8F" w:rsidRDefault="009531B4" w:rsidP="000B3A8F">
      <w:pPr>
        <w:pStyle w:val="ListParagraph"/>
        <w:spacing w:line="340" w:lineRule="exact"/>
        <w:ind w:left="360"/>
        <w:jc w:val="both"/>
        <w:rPr>
          <w:sz w:val="22"/>
          <w:szCs w:val="22"/>
        </w:rPr>
      </w:pPr>
      <w:bookmarkStart w:id="144" w:name="_Hlk533106462"/>
      <w:bookmarkStart w:id="145" w:name="_Hlk532502758"/>
      <w:bookmarkStart w:id="146" w:name="_GoBack"/>
      <w:bookmarkEnd w:id="133"/>
      <w:bookmarkEnd w:id="134"/>
      <w:bookmarkEnd w:id="141"/>
    </w:p>
    <w:bookmarkEnd w:id="146"/>
    <w:p w:rsidR="00FF7B93" w:rsidRPr="007143C8" w:rsidRDefault="00FF7B93" w:rsidP="000B3A8F">
      <w:pPr>
        <w:spacing w:line="340" w:lineRule="exact"/>
        <w:jc w:val="both"/>
        <w:rPr>
          <w:b/>
          <w:sz w:val="22"/>
          <w:szCs w:val="22"/>
        </w:rPr>
      </w:pPr>
      <w:r w:rsidRPr="007143C8">
        <w:rPr>
          <w:rStyle w:val="fontstyle01"/>
          <w:rFonts w:ascii="Times New Roman" w:hAnsi="Times New Roman"/>
          <w:b/>
          <w:sz w:val="22"/>
          <w:szCs w:val="22"/>
        </w:rPr>
        <w:t>A. Scientific jounals</w:t>
      </w:r>
    </w:p>
    <w:p w:rsidR="00A1692A" w:rsidRPr="007143C8" w:rsidRDefault="00A1692A" w:rsidP="00A1692A">
      <w:pPr>
        <w:pStyle w:val="ListParagraph"/>
        <w:numPr>
          <w:ilvl w:val="0"/>
          <w:numId w:val="16"/>
        </w:numPr>
        <w:spacing w:line="320" w:lineRule="exact"/>
        <w:ind w:left="360" w:hanging="446"/>
        <w:jc w:val="both"/>
        <w:rPr>
          <w:sz w:val="22"/>
          <w:szCs w:val="22"/>
        </w:rPr>
      </w:pPr>
      <w:r w:rsidRPr="007143C8">
        <w:rPr>
          <w:sz w:val="22"/>
          <w:szCs w:val="22"/>
        </w:rPr>
        <w:t>Quách Doanh Nghiệp, Nguyễn Thị Ngọc Trang, Nguyễn Hoàng Thụy Bích Trâm (2018</w:t>
      </w:r>
      <w:r w:rsidRPr="007143C8">
        <w:rPr>
          <w:i/>
          <w:sz w:val="22"/>
          <w:szCs w:val="22"/>
        </w:rPr>
        <w:t xml:space="preserve">). </w:t>
      </w:r>
      <w:r w:rsidRPr="007143C8">
        <w:rPr>
          <w:sz w:val="22"/>
          <w:szCs w:val="22"/>
        </w:rPr>
        <w:t>Ảnh hưởng của độ mở thương mại đến mức độ truyền dẫn tỷ giá hối đoái vào lạm phát ở Việt Nam.</w:t>
      </w:r>
      <w:r w:rsidRPr="007143C8">
        <w:rPr>
          <w:i/>
          <w:sz w:val="22"/>
          <w:szCs w:val="22"/>
        </w:rPr>
        <w:t xml:space="preserve"> Tạp chí Khoa học – Đại học Mở Tp.HCM,</w:t>
      </w:r>
      <w:r w:rsidRPr="007143C8">
        <w:rPr>
          <w:sz w:val="22"/>
          <w:szCs w:val="22"/>
        </w:rPr>
        <w:t xml:space="preserve"> Số 63(6) – Năm 2018</w:t>
      </w:r>
    </w:p>
    <w:p w:rsidR="00A1692A" w:rsidRPr="007143C8" w:rsidRDefault="00A1692A" w:rsidP="00A1692A">
      <w:pPr>
        <w:pStyle w:val="ListParagraph"/>
        <w:numPr>
          <w:ilvl w:val="0"/>
          <w:numId w:val="16"/>
        </w:numPr>
        <w:spacing w:line="320" w:lineRule="exact"/>
        <w:ind w:left="360" w:hanging="446"/>
        <w:jc w:val="both"/>
        <w:rPr>
          <w:sz w:val="22"/>
          <w:szCs w:val="22"/>
        </w:rPr>
      </w:pPr>
      <w:r w:rsidRPr="007143C8">
        <w:rPr>
          <w:sz w:val="22"/>
          <w:szCs w:val="22"/>
        </w:rPr>
        <w:t xml:space="preserve">Quách Doanh Nghiệp (2019). Môi trường lạm phát và truyền dẫn tỷ giá hối đoái ở Việt Nam. </w:t>
      </w:r>
      <w:r w:rsidRPr="007143C8">
        <w:rPr>
          <w:i/>
          <w:sz w:val="22"/>
          <w:szCs w:val="22"/>
        </w:rPr>
        <w:t>Tạp chí Khoa học – Đại học Mở Tp.HCM,</w:t>
      </w:r>
      <w:r w:rsidRPr="007143C8">
        <w:rPr>
          <w:sz w:val="22"/>
          <w:szCs w:val="22"/>
        </w:rPr>
        <w:t xml:space="preserve"> Số 14(5) – Năm 2019</w:t>
      </w:r>
    </w:p>
    <w:p w:rsidR="00A1692A" w:rsidRPr="007143C8" w:rsidRDefault="00A1692A" w:rsidP="00A1692A">
      <w:pPr>
        <w:pStyle w:val="ListParagraph"/>
        <w:numPr>
          <w:ilvl w:val="0"/>
          <w:numId w:val="16"/>
        </w:numPr>
        <w:spacing w:line="320" w:lineRule="exact"/>
        <w:ind w:left="360" w:hanging="446"/>
        <w:jc w:val="both"/>
        <w:rPr>
          <w:sz w:val="22"/>
          <w:szCs w:val="22"/>
        </w:rPr>
      </w:pPr>
      <w:r w:rsidRPr="007143C8">
        <w:rPr>
          <w:sz w:val="22"/>
          <w:szCs w:val="22"/>
        </w:rPr>
        <w:t xml:space="preserve">Nguyễn Thị Ngọc Trang, Quách Doanh Nghiệp (2020). Mức độ biến động tỷ giá và truyền dẫn tỷ giá hối đoái ở Việt Nam. </w:t>
      </w:r>
      <w:r w:rsidRPr="007143C8">
        <w:rPr>
          <w:i/>
          <w:sz w:val="22"/>
          <w:szCs w:val="22"/>
        </w:rPr>
        <w:t>Tạp chí Kinh tế&amp;Phát triển – ĐH Kinh tế quốc dân</w:t>
      </w:r>
      <w:r w:rsidRPr="007143C8">
        <w:rPr>
          <w:sz w:val="22"/>
          <w:szCs w:val="22"/>
        </w:rPr>
        <w:t>, Số 279(9) – Năm 2020</w:t>
      </w:r>
    </w:p>
    <w:p w:rsidR="009D2129" w:rsidRPr="007143C8" w:rsidRDefault="009D2129" w:rsidP="000B3A8F">
      <w:pPr>
        <w:spacing w:line="340" w:lineRule="exact"/>
        <w:jc w:val="both"/>
        <w:rPr>
          <w:b/>
          <w:sz w:val="22"/>
          <w:szCs w:val="22"/>
        </w:rPr>
      </w:pPr>
      <w:r w:rsidRPr="007143C8">
        <w:rPr>
          <w:rStyle w:val="fontstyle01"/>
          <w:rFonts w:ascii="Times New Roman" w:hAnsi="Times New Roman"/>
          <w:b/>
          <w:sz w:val="22"/>
          <w:szCs w:val="22"/>
        </w:rPr>
        <w:t>B. Scientific researches</w:t>
      </w:r>
    </w:p>
    <w:bookmarkEnd w:id="144"/>
    <w:bookmarkEnd w:id="145"/>
    <w:p w:rsidR="009B6E3D" w:rsidRPr="007143C8" w:rsidRDefault="009D2129" w:rsidP="000B3A8F">
      <w:pPr>
        <w:pStyle w:val="ListParagraph"/>
        <w:numPr>
          <w:ilvl w:val="0"/>
          <w:numId w:val="18"/>
        </w:numPr>
        <w:spacing w:line="340" w:lineRule="exact"/>
        <w:ind w:left="360"/>
        <w:jc w:val="both"/>
        <w:rPr>
          <w:sz w:val="22"/>
          <w:szCs w:val="22"/>
        </w:rPr>
      </w:pPr>
      <w:r w:rsidRPr="007143C8">
        <w:rPr>
          <w:sz w:val="22"/>
          <w:szCs w:val="22"/>
        </w:rPr>
        <w:t xml:space="preserve">University level </w:t>
      </w:r>
      <w:r w:rsidR="009B6E3D" w:rsidRPr="007143C8">
        <w:rPr>
          <w:sz w:val="22"/>
          <w:szCs w:val="22"/>
        </w:rPr>
        <w:t>(2017)</w:t>
      </w:r>
      <w:r w:rsidRPr="007143C8">
        <w:rPr>
          <w:sz w:val="22"/>
          <w:szCs w:val="22"/>
        </w:rPr>
        <w:t xml:space="preserve">, </w:t>
      </w:r>
      <w:r w:rsidR="009B6E3D" w:rsidRPr="007143C8">
        <w:rPr>
          <w:sz w:val="22"/>
          <w:szCs w:val="22"/>
        </w:rPr>
        <w:t xml:space="preserve"> “Ảnh hưởng của tình trạng đô la hóa và độ mở thương mại đến mức độ truyền dẫn tỷ giá hối đoái vào lạm phát ở Việt Nam” </w:t>
      </w:r>
      <w:r w:rsidRPr="007143C8">
        <w:rPr>
          <w:sz w:val="22"/>
          <w:szCs w:val="22"/>
        </w:rPr>
        <w:t xml:space="preserve">- </w:t>
      </w:r>
      <w:r w:rsidRPr="007143C8">
        <w:rPr>
          <w:rStyle w:val="fontstyle01"/>
          <w:rFonts w:ascii="Times New Roman" w:hAnsi="Times New Roman"/>
          <w:sz w:val="22"/>
          <w:szCs w:val="22"/>
        </w:rPr>
        <w:t>Excellent rated</w:t>
      </w:r>
    </w:p>
    <w:p w:rsidR="00DF1FF4" w:rsidRPr="007143C8" w:rsidRDefault="00DF1FF4" w:rsidP="000B3A8F">
      <w:pPr>
        <w:spacing w:line="340" w:lineRule="exact"/>
        <w:jc w:val="both"/>
        <w:rPr>
          <w:b/>
          <w:sz w:val="22"/>
          <w:szCs w:val="22"/>
        </w:rPr>
      </w:pPr>
      <w:r w:rsidRPr="007143C8">
        <w:rPr>
          <w:b/>
          <w:sz w:val="22"/>
          <w:szCs w:val="22"/>
        </w:rPr>
        <w:t>C. Conferences</w:t>
      </w:r>
    </w:p>
    <w:p w:rsidR="00A1692A" w:rsidRPr="007143C8" w:rsidRDefault="00A1692A" w:rsidP="00A1692A">
      <w:pPr>
        <w:pStyle w:val="ListParagraph"/>
        <w:numPr>
          <w:ilvl w:val="0"/>
          <w:numId w:val="19"/>
        </w:numPr>
        <w:spacing w:line="340" w:lineRule="exact"/>
        <w:ind w:left="360"/>
        <w:jc w:val="both"/>
        <w:rPr>
          <w:rFonts w:eastAsia="Calibri"/>
          <w:sz w:val="22"/>
          <w:szCs w:val="22"/>
        </w:rPr>
      </w:pPr>
      <w:r w:rsidRPr="007143C8">
        <w:rPr>
          <w:color w:val="000000"/>
          <w:sz w:val="22"/>
          <w:szCs w:val="22"/>
          <w:shd w:val="clear" w:color="auto" w:fill="FFFFFF"/>
        </w:rPr>
        <w:t xml:space="preserve">Nghiep </w:t>
      </w:r>
      <w:r w:rsidR="007143C8">
        <w:rPr>
          <w:color w:val="000000"/>
          <w:sz w:val="22"/>
          <w:szCs w:val="22"/>
          <w:shd w:val="clear" w:color="auto" w:fill="FFFFFF"/>
        </w:rPr>
        <w:t xml:space="preserve">Doanh Quach </w:t>
      </w:r>
      <w:r w:rsidRPr="007143C8">
        <w:rPr>
          <w:color w:val="000000"/>
          <w:sz w:val="22"/>
          <w:szCs w:val="22"/>
          <w:shd w:val="clear" w:color="auto" w:fill="FFFFFF"/>
        </w:rPr>
        <w:t xml:space="preserve">(2019). Does exchange rate pass-through depend on the stage of an economy: Evidence from </w:t>
      </w:r>
      <w:proofErr w:type="gramStart"/>
      <w:r w:rsidRPr="007143C8">
        <w:rPr>
          <w:color w:val="000000"/>
          <w:sz w:val="22"/>
          <w:szCs w:val="22"/>
          <w:shd w:val="clear" w:color="auto" w:fill="FFFFFF"/>
        </w:rPr>
        <w:t>Vietnam</w:t>
      </w:r>
      <w:r w:rsidRPr="007143C8">
        <w:rPr>
          <w:sz w:val="22"/>
          <w:szCs w:val="22"/>
        </w:rPr>
        <w:t>.</w:t>
      </w:r>
      <w:proofErr w:type="gramEnd"/>
      <w:r w:rsidRPr="007143C8">
        <w:rPr>
          <w:sz w:val="22"/>
          <w:szCs w:val="22"/>
        </w:rPr>
        <w:t xml:space="preserve"> The </w:t>
      </w:r>
      <w:proofErr w:type="gramStart"/>
      <w:r w:rsidRPr="007143C8">
        <w:rPr>
          <w:sz w:val="22"/>
          <w:szCs w:val="22"/>
        </w:rPr>
        <w:t>3rd</w:t>
      </w:r>
      <w:proofErr w:type="gramEnd"/>
      <w:r w:rsidRPr="007143C8">
        <w:rPr>
          <w:sz w:val="22"/>
          <w:szCs w:val="22"/>
        </w:rPr>
        <w:t xml:space="preserve"> International Conference on Business (ICB) 2019</w:t>
      </w:r>
      <w:bookmarkEnd w:id="142"/>
      <w:bookmarkEnd w:id="143"/>
      <w:r w:rsidRPr="007143C8">
        <w:rPr>
          <w:sz w:val="22"/>
          <w:szCs w:val="22"/>
        </w:rPr>
        <w:t xml:space="preserve">. </w:t>
      </w:r>
      <w:bookmarkStart w:id="147" w:name="OLE_LINK45"/>
      <w:bookmarkStart w:id="148" w:name="OLE_LINK50"/>
      <w:bookmarkStart w:id="149" w:name="OLE_LINK35"/>
      <w:r w:rsidR="007143C8" w:rsidRPr="007143C8">
        <w:rPr>
          <w:sz w:val="22"/>
          <w:szCs w:val="22"/>
        </w:rPr>
        <w:t>Finance Publishing House. ISBN: 978-604-79-2326-7</w:t>
      </w:r>
      <w:bookmarkEnd w:id="147"/>
      <w:bookmarkEnd w:id="148"/>
      <w:bookmarkEnd w:id="149"/>
      <w:r w:rsidR="007143C8" w:rsidRPr="007143C8">
        <w:rPr>
          <w:sz w:val="22"/>
          <w:szCs w:val="22"/>
        </w:rPr>
        <w:t xml:space="preserve">. </w:t>
      </w:r>
    </w:p>
    <w:p w:rsidR="00A1692A" w:rsidRPr="007143C8" w:rsidRDefault="00A1692A" w:rsidP="00A1692A">
      <w:pPr>
        <w:pStyle w:val="ListParagraph"/>
        <w:numPr>
          <w:ilvl w:val="0"/>
          <w:numId w:val="19"/>
        </w:numPr>
        <w:spacing w:line="340" w:lineRule="exact"/>
        <w:ind w:left="360"/>
        <w:jc w:val="both"/>
        <w:rPr>
          <w:rFonts w:eastAsia="Calibri"/>
          <w:sz w:val="22"/>
          <w:szCs w:val="22"/>
        </w:rPr>
      </w:pPr>
      <w:r w:rsidRPr="007143C8">
        <w:rPr>
          <w:sz w:val="22"/>
          <w:szCs w:val="22"/>
        </w:rPr>
        <w:t xml:space="preserve">Quách Doanh Nghiệp, Nguyễn Khắc Quốc Bảo (2019). Truyền dẫn tỷ giá và môi trường lạm phát trong mối quan hệ với tăng trưởng kinh tế ở Việt Nam. </w:t>
      </w:r>
      <w:r w:rsidRPr="007143C8">
        <w:rPr>
          <w:i/>
          <w:sz w:val="22"/>
          <w:szCs w:val="22"/>
        </w:rPr>
        <w:t>Kỷ yếu Hội thảo khoa học Quốc gia năm 2019 “Tăng trưởng kinh tế dựa trên khoa học, công nghệ và đổi mới sáng tạo ở Việt Nam đến năm 2030”</w:t>
      </w:r>
      <w:r w:rsidRPr="007143C8">
        <w:rPr>
          <w:sz w:val="22"/>
          <w:szCs w:val="22"/>
        </w:rPr>
        <w:t>. Nhà xuất bản Kinh tế Tp. Hồ Chí Minh, ISBN: 978-604-922-751-6.</w:t>
      </w:r>
    </w:p>
    <w:sectPr w:rsidR="00A1692A" w:rsidRPr="007143C8" w:rsidSect="003B276F">
      <w:headerReference w:type="default" r:id="rId9"/>
      <w:pgSz w:w="8391" w:h="11907" w:code="11"/>
      <w:pgMar w:top="1138" w:right="1138" w:bottom="1138" w:left="113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7AF" w:rsidRDefault="000E07AF" w:rsidP="005E4AAE">
      <w:r>
        <w:separator/>
      </w:r>
    </w:p>
  </w:endnote>
  <w:endnote w:type="continuationSeparator" w:id="0">
    <w:p w:rsidR="000E07AF" w:rsidRDefault="000E07AF" w:rsidP="005E4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VNI-Times">
    <w:panose1 w:val="000000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7AF" w:rsidRDefault="000E07AF" w:rsidP="005E4AAE">
      <w:r>
        <w:separator/>
      </w:r>
    </w:p>
  </w:footnote>
  <w:footnote w:type="continuationSeparator" w:id="0">
    <w:p w:rsidR="000E07AF" w:rsidRDefault="000E07AF" w:rsidP="005E4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494095"/>
      <w:docPartObj>
        <w:docPartGallery w:val="Page Numbers (Top of Page)"/>
        <w:docPartUnique/>
      </w:docPartObj>
    </w:sdtPr>
    <w:sdtEndPr>
      <w:rPr>
        <w:noProof/>
      </w:rPr>
    </w:sdtEndPr>
    <w:sdtContent>
      <w:p w:rsidR="003B276F" w:rsidRDefault="003B276F">
        <w:pPr>
          <w:pStyle w:val="Header"/>
          <w:jc w:val="center"/>
        </w:pPr>
        <w:r>
          <w:fldChar w:fldCharType="begin"/>
        </w:r>
        <w:r>
          <w:instrText xml:space="preserve"> PAGE   \* MERGEFORMAT </w:instrText>
        </w:r>
        <w:r>
          <w:fldChar w:fldCharType="separate"/>
        </w:r>
        <w:r w:rsidR="00FB2B98">
          <w:rPr>
            <w:noProof/>
          </w:rPr>
          <w:t>19</w:t>
        </w:r>
        <w:r>
          <w:rPr>
            <w:noProof/>
          </w:rPr>
          <w:fldChar w:fldCharType="end"/>
        </w:r>
      </w:p>
    </w:sdtContent>
  </w:sdt>
  <w:p w:rsidR="003B276F" w:rsidRDefault="003B27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B98" w:rsidRDefault="00FB2B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F4B0A"/>
    <w:multiLevelType w:val="multilevel"/>
    <w:tmpl w:val="FC2845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3F0C9B"/>
    <w:multiLevelType w:val="hybridMultilevel"/>
    <w:tmpl w:val="AC48E8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01622"/>
    <w:multiLevelType w:val="multilevel"/>
    <w:tmpl w:val="726867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5A34E7"/>
    <w:multiLevelType w:val="hybridMultilevel"/>
    <w:tmpl w:val="849257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26771"/>
    <w:multiLevelType w:val="hybridMultilevel"/>
    <w:tmpl w:val="73562FB2"/>
    <w:lvl w:ilvl="0" w:tplc="33ACBFD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024B67"/>
    <w:multiLevelType w:val="hybridMultilevel"/>
    <w:tmpl w:val="C55A8C56"/>
    <w:lvl w:ilvl="0" w:tplc="CB925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302C6B"/>
    <w:multiLevelType w:val="hybridMultilevel"/>
    <w:tmpl w:val="A51EFD88"/>
    <w:lvl w:ilvl="0" w:tplc="B83661F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A3CF7"/>
    <w:multiLevelType w:val="multilevel"/>
    <w:tmpl w:val="2362BD3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C7053BF"/>
    <w:multiLevelType w:val="hybridMultilevel"/>
    <w:tmpl w:val="4B508D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D3E443E"/>
    <w:multiLevelType w:val="hybridMultilevel"/>
    <w:tmpl w:val="728613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AD6B47"/>
    <w:multiLevelType w:val="multilevel"/>
    <w:tmpl w:val="81D099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BB0AD8"/>
    <w:multiLevelType w:val="multilevel"/>
    <w:tmpl w:val="3E4A06DE"/>
    <w:lvl w:ilvl="0">
      <w:start w:val="2"/>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B4153C2"/>
    <w:multiLevelType w:val="hybridMultilevel"/>
    <w:tmpl w:val="0576CE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D2C459D"/>
    <w:multiLevelType w:val="multilevel"/>
    <w:tmpl w:val="AEEAD606"/>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F9A1CA1"/>
    <w:multiLevelType w:val="multilevel"/>
    <w:tmpl w:val="FE547160"/>
    <w:lvl w:ilvl="0">
      <w:start w:val="2"/>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5C667EED"/>
    <w:multiLevelType w:val="multilevel"/>
    <w:tmpl w:val="4C4088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E4E3279"/>
    <w:multiLevelType w:val="hybridMultilevel"/>
    <w:tmpl w:val="F3E649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1594C"/>
    <w:multiLevelType w:val="hybridMultilevel"/>
    <w:tmpl w:val="19C2756E"/>
    <w:lvl w:ilvl="0" w:tplc="6BF40EC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5"/>
  </w:num>
  <w:num w:numId="3">
    <w:abstractNumId w:val="10"/>
  </w:num>
  <w:num w:numId="4">
    <w:abstractNumId w:val="0"/>
  </w:num>
  <w:num w:numId="5">
    <w:abstractNumId w:val="5"/>
  </w:num>
  <w:num w:numId="6">
    <w:abstractNumId w:val="7"/>
  </w:num>
  <w:num w:numId="7">
    <w:abstractNumId w:val="3"/>
  </w:num>
  <w:num w:numId="8">
    <w:abstractNumId w:val="11"/>
  </w:num>
  <w:num w:numId="9">
    <w:abstractNumId w:val="9"/>
  </w:num>
  <w:num w:numId="10">
    <w:abstractNumId w:val="14"/>
  </w:num>
  <w:num w:numId="11">
    <w:abstractNumId w:val="13"/>
  </w:num>
  <w:num w:numId="12">
    <w:abstractNumId w:val="12"/>
  </w:num>
  <w:num w:numId="13">
    <w:abstractNumId w:val="6"/>
  </w:num>
  <w:num w:numId="14">
    <w:abstractNumId w:val="1"/>
  </w:num>
  <w:num w:numId="15">
    <w:abstractNumId w:val="1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AAE"/>
    <w:rsid w:val="00004830"/>
    <w:rsid w:val="00006EC7"/>
    <w:rsid w:val="0001065B"/>
    <w:rsid w:val="00011A08"/>
    <w:rsid w:val="000224F5"/>
    <w:rsid w:val="0003191B"/>
    <w:rsid w:val="00034AE6"/>
    <w:rsid w:val="00037304"/>
    <w:rsid w:val="000422E3"/>
    <w:rsid w:val="000625B0"/>
    <w:rsid w:val="00067DBF"/>
    <w:rsid w:val="00071881"/>
    <w:rsid w:val="00080FA3"/>
    <w:rsid w:val="000951C3"/>
    <w:rsid w:val="000A5A44"/>
    <w:rsid w:val="000A6F69"/>
    <w:rsid w:val="000B1836"/>
    <w:rsid w:val="000B3A8F"/>
    <w:rsid w:val="000D44DC"/>
    <w:rsid w:val="000D6E75"/>
    <w:rsid w:val="000E07AF"/>
    <w:rsid w:val="000E33DD"/>
    <w:rsid w:val="000E5E1B"/>
    <w:rsid w:val="000E5ECC"/>
    <w:rsid w:val="00106519"/>
    <w:rsid w:val="0011126B"/>
    <w:rsid w:val="00111925"/>
    <w:rsid w:val="001147DA"/>
    <w:rsid w:val="0012403F"/>
    <w:rsid w:val="00124212"/>
    <w:rsid w:val="001361D9"/>
    <w:rsid w:val="00136921"/>
    <w:rsid w:val="001457AA"/>
    <w:rsid w:val="00151BF9"/>
    <w:rsid w:val="00155A22"/>
    <w:rsid w:val="00163B13"/>
    <w:rsid w:val="0016663B"/>
    <w:rsid w:val="00166AF5"/>
    <w:rsid w:val="0017090D"/>
    <w:rsid w:val="0017327C"/>
    <w:rsid w:val="00175CBB"/>
    <w:rsid w:val="001765A7"/>
    <w:rsid w:val="00180410"/>
    <w:rsid w:val="001818B2"/>
    <w:rsid w:val="00191DE2"/>
    <w:rsid w:val="00197535"/>
    <w:rsid w:val="001A1966"/>
    <w:rsid w:val="001B1263"/>
    <w:rsid w:val="001D2FDC"/>
    <w:rsid w:val="001E2618"/>
    <w:rsid w:val="001F1B0D"/>
    <w:rsid w:val="001F537E"/>
    <w:rsid w:val="00200BE6"/>
    <w:rsid w:val="0020248A"/>
    <w:rsid w:val="00222A3A"/>
    <w:rsid w:val="00227487"/>
    <w:rsid w:val="002636E3"/>
    <w:rsid w:val="002652B0"/>
    <w:rsid w:val="00271561"/>
    <w:rsid w:val="0027763E"/>
    <w:rsid w:val="00282B56"/>
    <w:rsid w:val="002936C3"/>
    <w:rsid w:val="002938E1"/>
    <w:rsid w:val="00297D1D"/>
    <w:rsid w:val="002A5D27"/>
    <w:rsid w:val="002A7B5A"/>
    <w:rsid w:val="002B061B"/>
    <w:rsid w:val="002B5FEF"/>
    <w:rsid w:val="002B6410"/>
    <w:rsid w:val="002D4C6B"/>
    <w:rsid w:val="002D7860"/>
    <w:rsid w:val="002E4CAC"/>
    <w:rsid w:val="002F0208"/>
    <w:rsid w:val="002F1BA2"/>
    <w:rsid w:val="002F708E"/>
    <w:rsid w:val="003029A3"/>
    <w:rsid w:val="00303231"/>
    <w:rsid w:val="00304E32"/>
    <w:rsid w:val="00306853"/>
    <w:rsid w:val="00316AC8"/>
    <w:rsid w:val="00321F96"/>
    <w:rsid w:val="0032665A"/>
    <w:rsid w:val="003313B8"/>
    <w:rsid w:val="00336F73"/>
    <w:rsid w:val="00353E20"/>
    <w:rsid w:val="003564BD"/>
    <w:rsid w:val="00356702"/>
    <w:rsid w:val="0036306E"/>
    <w:rsid w:val="00364F22"/>
    <w:rsid w:val="00365AEA"/>
    <w:rsid w:val="00373496"/>
    <w:rsid w:val="003769B3"/>
    <w:rsid w:val="003769DD"/>
    <w:rsid w:val="003777C8"/>
    <w:rsid w:val="00392757"/>
    <w:rsid w:val="00397539"/>
    <w:rsid w:val="003A4BB3"/>
    <w:rsid w:val="003B276F"/>
    <w:rsid w:val="003B3692"/>
    <w:rsid w:val="003B69F5"/>
    <w:rsid w:val="003C7677"/>
    <w:rsid w:val="003D3F77"/>
    <w:rsid w:val="003E021E"/>
    <w:rsid w:val="003E04E0"/>
    <w:rsid w:val="003E1436"/>
    <w:rsid w:val="003E254C"/>
    <w:rsid w:val="003E5758"/>
    <w:rsid w:val="003E771C"/>
    <w:rsid w:val="003F0923"/>
    <w:rsid w:val="00402D9F"/>
    <w:rsid w:val="00404B8C"/>
    <w:rsid w:val="00410B5D"/>
    <w:rsid w:val="00412269"/>
    <w:rsid w:val="00412F11"/>
    <w:rsid w:val="00424CDF"/>
    <w:rsid w:val="00425306"/>
    <w:rsid w:val="00425950"/>
    <w:rsid w:val="00445AB3"/>
    <w:rsid w:val="00463CD9"/>
    <w:rsid w:val="00465E43"/>
    <w:rsid w:val="00471D0D"/>
    <w:rsid w:val="00484048"/>
    <w:rsid w:val="004878C7"/>
    <w:rsid w:val="0049181D"/>
    <w:rsid w:val="00492E52"/>
    <w:rsid w:val="004A1C88"/>
    <w:rsid w:val="004C15E0"/>
    <w:rsid w:val="004D0010"/>
    <w:rsid w:val="004D5322"/>
    <w:rsid w:val="00510A42"/>
    <w:rsid w:val="00513C18"/>
    <w:rsid w:val="00536487"/>
    <w:rsid w:val="00540B1B"/>
    <w:rsid w:val="005441B8"/>
    <w:rsid w:val="00550133"/>
    <w:rsid w:val="00552A39"/>
    <w:rsid w:val="00561232"/>
    <w:rsid w:val="005731FC"/>
    <w:rsid w:val="00577C1A"/>
    <w:rsid w:val="00580674"/>
    <w:rsid w:val="00586240"/>
    <w:rsid w:val="005A528E"/>
    <w:rsid w:val="005A6ABD"/>
    <w:rsid w:val="005B36D1"/>
    <w:rsid w:val="005C6EDE"/>
    <w:rsid w:val="005C7339"/>
    <w:rsid w:val="005D0CFE"/>
    <w:rsid w:val="005E4AAE"/>
    <w:rsid w:val="005F0EDF"/>
    <w:rsid w:val="005F35D5"/>
    <w:rsid w:val="0061530B"/>
    <w:rsid w:val="006252FD"/>
    <w:rsid w:val="00630BB5"/>
    <w:rsid w:val="00630EE6"/>
    <w:rsid w:val="00631928"/>
    <w:rsid w:val="0063552B"/>
    <w:rsid w:val="0063613C"/>
    <w:rsid w:val="0063629F"/>
    <w:rsid w:val="006417C4"/>
    <w:rsid w:val="00661DB1"/>
    <w:rsid w:val="00661ECD"/>
    <w:rsid w:val="006625FD"/>
    <w:rsid w:val="00667607"/>
    <w:rsid w:val="0067034A"/>
    <w:rsid w:val="00672604"/>
    <w:rsid w:val="00681B47"/>
    <w:rsid w:val="00691C50"/>
    <w:rsid w:val="006922FC"/>
    <w:rsid w:val="006949E5"/>
    <w:rsid w:val="006A669B"/>
    <w:rsid w:val="006B497A"/>
    <w:rsid w:val="006B6DB9"/>
    <w:rsid w:val="006C1147"/>
    <w:rsid w:val="006C3FBF"/>
    <w:rsid w:val="006D2E3A"/>
    <w:rsid w:val="006D3441"/>
    <w:rsid w:val="006D61EB"/>
    <w:rsid w:val="006E087F"/>
    <w:rsid w:val="006E47D9"/>
    <w:rsid w:val="006F0DDD"/>
    <w:rsid w:val="006F6C7A"/>
    <w:rsid w:val="00703656"/>
    <w:rsid w:val="00703B0E"/>
    <w:rsid w:val="007143C8"/>
    <w:rsid w:val="007153F3"/>
    <w:rsid w:val="00716597"/>
    <w:rsid w:val="00721C43"/>
    <w:rsid w:val="007254E7"/>
    <w:rsid w:val="00744B51"/>
    <w:rsid w:val="007456CD"/>
    <w:rsid w:val="0075489C"/>
    <w:rsid w:val="0075595B"/>
    <w:rsid w:val="007634BB"/>
    <w:rsid w:val="0078205D"/>
    <w:rsid w:val="007901BD"/>
    <w:rsid w:val="00796327"/>
    <w:rsid w:val="007A68DB"/>
    <w:rsid w:val="007B2182"/>
    <w:rsid w:val="007B3C26"/>
    <w:rsid w:val="007C3EF3"/>
    <w:rsid w:val="007D2F06"/>
    <w:rsid w:val="007D4703"/>
    <w:rsid w:val="007D6AE1"/>
    <w:rsid w:val="007E0713"/>
    <w:rsid w:val="007E4702"/>
    <w:rsid w:val="007F1386"/>
    <w:rsid w:val="007F39D0"/>
    <w:rsid w:val="007F4307"/>
    <w:rsid w:val="008027A5"/>
    <w:rsid w:val="00807C13"/>
    <w:rsid w:val="00811530"/>
    <w:rsid w:val="00816812"/>
    <w:rsid w:val="0082522F"/>
    <w:rsid w:val="00826198"/>
    <w:rsid w:val="00833AC1"/>
    <w:rsid w:val="00837BEC"/>
    <w:rsid w:val="0085761C"/>
    <w:rsid w:val="00870053"/>
    <w:rsid w:val="00870A09"/>
    <w:rsid w:val="0087154C"/>
    <w:rsid w:val="00872D3A"/>
    <w:rsid w:val="008A16A0"/>
    <w:rsid w:val="008A3389"/>
    <w:rsid w:val="008A35DA"/>
    <w:rsid w:val="008A395B"/>
    <w:rsid w:val="008A4294"/>
    <w:rsid w:val="008A70FE"/>
    <w:rsid w:val="008B1970"/>
    <w:rsid w:val="008C5342"/>
    <w:rsid w:val="008F6138"/>
    <w:rsid w:val="009068AD"/>
    <w:rsid w:val="009070AA"/>
    <w:rsid w:val="009152DD"/>
    <w:rsid w:val="009214FC"/>
    <w:rsid w:val="00921E65"/>
    <w:rsid w:val="009222C2"/>
    <w:rsid w:val="009228B5"/>
    <w:rsid w:val="00946192"/>
    <w:rsid w:val="00951374"/>
    <w:rsid w:val="009531B4"/>
    <w:rsid w:val="00957C4C"/>
    <w:rsid w:val="0096243E"/>
    <w:rsid w:val="009710FF"/>
    <w:rsid w:val="00987830"/>
    <w:rsid w:val="009914CE"/>
    <w:rsid w:val="009A2035"/>
    <w:rsid w:val="009A7C21"/>
    <w:rsid w:val="009B40B0"/>
    <w:rsid w:val="009B6E3D"/>
    <w:rsid w:val="009C597C"/>
    <w:rsid w:val="009D2129"/>
    <w:rsid w:val="009E1C0F"/>
    <w:rsid w:val="009E2624"/>
    <w:rsid w:val="00A01D89"/>
    <w:rsid w:val="00A1692A"/>
    <w:rsid w:val="00A21A80"/>
    <w:rsid w:val="00A278E9"/>
    <w:rsid w:val="00A33EFE"/>
    <w:rsid w:val="00A37947"/>
    <w:rsid w:val="00A50F8E"/>
    <w:rsid w:val="00A51D04"/>
    <w:rsid w:val="00A52CD5"/>
    <w:rsid w:val="00A52CE1"/>
    <w:rsid w:val="00A56817"/>
    <w:rsid w:val="00A662FC"/>
    <w:rsid w:val="00A8284E"/>
    <w:rsid w:val="00A94306"/>
    <w:rsid w:val="00A94D33"/>
    <w:rsid w:val="00AA4693"/>
    <w:rsid w:val="00AA684D"/>
    <w:rsid w:val="00AD7BA2"/>
    <w:rsid w:val="00AE6A8C"/>
    <w:rsid w:val="00AE6BDB"/>
    <w:rsid w:val="00AF2345"/>
    <w:rsid w:val="00AF36EA"/>
    <w:rsid w:val="00AF490A"/>
    <w:rsid w:val="00B10024"/>
    <w:rsid w:val="00B113BB"/>
    <w:rsid w:val="00B12D97"/>
    <w:rsid w:val="00B3564E"/>
    <w:rsid w:val="00B35FDD"/>
    <w:rsid w:val="00B37402"/>
    <w:rsid w:val="00B42D45"/>
    <w:rsid w:val="00B42EA4"/>
    <w:rsid w:val="00B4321B"/>
    <w:rsid w:val="00B46BB1"/>
    <w:rsid w:val="00B4769F"/>
    <w:rsid w:val="00B5746E"/>
    <w:rsid w:val="00B61106"/>
    <w:rsid w:val="00B63782"/>
    <w:rsid w:val="00B64D8C"/>
    <w:rsid w:val="00B653D2"/>
    <w:rsid w:val="00B706D8"/>
    <w:rsid w:val="00B71F25"/>
    <w:rsid w:val="00B72B75"/>
    <w:rsid w:val="00B7339D"/>
    <w:rsid w:val="00B81FB4"/>
    <w:rsid w:val="00B92660"/>
    <w:rsid w:val="00B93F5D"/>
    <w:rsid w:val="00BB2AC3"/>
    <w:rsid w:val="00BB46A2"/>
    <w:rsid w:val="00BC1270"/>
    <w:rsid w:val="00BC374B"/>
    <w:rsid w:val="00BC4F44"/>
    <w:rsid w:val="00BD5642"/>
    <w:rsid w:val="00BE28D9"/>
    <w:rsid w:val="00BF05EF"/>
    <w:rsid w:val="00BF2E22"/>
    <w:rsid w:val="00BF331E"/>
    <w:rsid w:val="00C002BB"/>
    <w:rsid w:val="00C0532B"/>
    <w:rsid w:val="00C101A6"/>
    <w:rsid w:val="00C1564F"/>
    <w:rsid w:val="00C17588"/>
    <w:rsid w:val="00C17784"/>
    <w:rsid w:val="00C2474D"/>
    <w:rsid w:val="00C35218"/>
    <w:rsid w:val="00C419AC"/>
    <w:rsid w:val="00C41B2E"/>
    <w:rsid w:val="00C46F65"/>
    <w:rsid w:val="00C57E93"/>
    <w:rsid w:val="00C72138"/>
    <w:rsid w:val="00C770D5"/>
    <w:rsid w:val="00C860D6"/>
    <w:rsid w:val="00C8688E"/>
    <w:rsid w:val="00C91399"/>
    <w:rsid w:val="00CA248C"/>
    <w:rsid w:val="00CD1F9C"/>
    <w:rsid w:val="00CD52A3"/>
    <w:rsid w:val="00CE1328"/>
    <w:rsid w:val="00CE5524"/>
    <w:rsid w:val="00CE77DD"/>
    <w:rsid w:val="00CF1377"/>
    <w:rsid w:val="00D05082"/>
    <w:rsid w:val="00D10108"/>
    <w:rsid w:val="00D14F2F"/>
    <w:rsid w:val="00D15C38"/>
    <w:rsid w:val="00D16264"/>
    <w:rsid w:val="00D315A6"/>
    <w:rsid w:val="00D445FE"/>
    <w:rsid w:val="00D525D7"/>
    <w:rsid w:val="00D5505E"/>
    <w:rsid w:val="00D6141C"/>
    <w:rsid w:val="00D810FF"/>
    <w:rsid w:val="00D87A31"/>
    <w:rsid w:val="00D947AF"/>
    <w:rsid w:val="00DA1DAC"/>
    <w:rsid w:val="00DA5716"/>
    <w:rsid w:val="00DB023A"/>
    <w:rsid w:val="00DB3936"/>
    <w:rsid w:val="00DB455F"/>
    <w:rsid w:val="00DC75BC"/>
    <w:rsid w:val="00DD3E3E"/>
    <w:rsid w:val="00DE0C75"/>
    <w:rsid w:val="00DE1AC5"/>
    <w:rsid w:val="00DF0B68"/>
    <w:rsid w:val="00DF1FF4"/>
    <w:rsid w:val="00DF7750"/>
    <w:rsid w:val="00E336A3"/>
    <w:rsid w:val="00E4136B"/>
    <w:rsid w:val="00E41DD8"/>
    <w:rsid w:val="00E42FFE"/>
    <w:rsid w:val="00E518AA"/>
    <w:rsid w:val="00E700A4"/>
    <w:rsid w:val="00E76C06"/>
    <w:rsid w:val="00E824FD"/>
    <w:rsid w:val="00E8463A"/>
    <w:rsid w:val="00E85277"/>
    <w:rsid w:val="00E92E13"/>
    <w:rsid w:val="00EA468D"/>
    <w:rsid w:val="00EB1A44"/>
    <w:rsid w:val="00EC4338"/>
    <w:rsid w:val="00EC4501"/>
    <w:rsid w:val="00ED4801"/>
    <w:rsid w:val="00EE2688"/>
    <w:rsid w:val="00EF0C22"/>
    <w:rsid w:val="00EF521B"/>
    <w:rsid w:val="00F0005E"/>
    <w:rsid w:val="00F11A51"/>
    <w:rsid w:val="00F145C0"/>
    <w:rsid w:val="00F152FD"/>
    <w:rsid w:val="00F162C4"/>
    <w:rsid w:val="00F27A1B"/>
    <w:rsid w:val="00F37E43"/>
    <w:rsid w:val="00F42EB0"/>
    <w:rsid w:val="00F44149"/>
    <w:rsid w:val="00F5497F"/>
    <w:rsid w:val="00F6793A"/>
    <w:rsid w:val="00F7152F"/>
    <w:rsid w:val="00F71FF6"/>
    <w:rsid w:val="00F744D6"/>
    <w:rsid w:val="00F75A4F"/>
    <w:rsid w:val="00F77C4D"/>
    <w:rsid w:val="00F80059"/>
    <w:rsid w:val="00F8015D"/>
    <w:rsid w:val="00F90F9F"/>
    <w:rsid w:val="00F96A5A"/>
    <w:rsid w:val="00FA0609"/>
    <w:rsid w:val="00FA0FF6"/>
    <w:rsid w:val="00FA2187"/>
    <w:rsid w:val="00FA2DFA"/>
    <w:rsid w:val="00FB2B98"/>
    <w:rsid w:val="00FB5BA3"/>
    <w:rsid w:val="00FB678B"/>
    <w:rsid w:val="00FC1CF1"/>
    <w:rsid w:val="00FE0378"/>
    <w:rsid w:val="00FE129F"/>
    <w:rsid w:val="00FE2201"/>
    <w:rsid w:val="00FF7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11696"/>
  <w15:chartTrackingRefBased/>
  <w15:docId w15:val="{71C1AB08-2E53-40D1-9EAA-4E1B84119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AA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B6E3D"/>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B3692"/>
    <w:pPr>
      <w:keepNext/>
      <w:keepLines/>
      <w:spacing w:before="40" w:line="256" w:lineRule="auto"/>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90F9F"/>
    <w:pPr>
      <w:keepNext/>
      <w:keepLines/>
      <w:spacing w:before="40" w:line="259" w:lineRule="auto"/>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252FD"/>
    <w:pPr>
      <w:keepNext/>
      <w:keepLines/>
      <w:spacing w:before="40" w:line="259" w:lineRule="auto"/>
      <w:outlineLvl w:val="3"/>
    </w:pPr>
    <w:rPr>
      <w:rFonts w:asciiTheme="majorHAnsi" w:eastAsiaTheme="majorEastAsia" w:hAnsiTheme="majorHAnsi" w:cstheme="majorBidi"/>
      <w:i/>
      <w:iCs/>
      <w:color w:val="2E74B5"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AAE"/>
    <w:pPr>
      <w:tabs>
        <w:tab w:val="center" w:pos="4680"/>
        <w:tab w:val="right" w:pos="9360"/>
      </w:tabs>
    </w:pPr>
  </w:style>
  <w:style w:type="character" w:customStyle="1" w:styleId="HeaderChar">
    <w:name w:val="Header Char"/>
    <w:basedOn w:val="DefaultParagraphFont"/>
    <w:link w:val="Header"/>
    <w:uiPriority w:val="99"/>
    <w:rsid w:val="005E4AAE"/>
  </w:style>
  <w:style w:type="paragraph" w:styleId="Footer">
    <w:name w:val="footer"/>
    <w:basedOn w:val="Normal"/>
    <w:link w:val="FooterChar"/>
    <w:uiPriority w:val="99"/>
    <w:unhideWhenUsed/>
    <w:rsid w:val="005E4AAE"/>
    <w:pPr>
      <w:tabs>
        <w:tab w:val="center" w:pos="4680"/>
        <w:tab w:val="right" w:pos="9360"/>
      </w:tabs>
    </w:pPr>
  </w:style>
  <w:style w:type="character" w:customStyle="1" w:styleId="FooterChar">
    <w:name w:val="Footer Char"/>
    <w:basedOn w:val="DefaultParagraphFont"/>
    <w:link w:val="Footer"/>
    <w:uiPriority w:val="99"/>
    <w:rsid w:val="005E4AAE"/>
  </w:style>
  <w:style w:type="paragraph" w:customStyle="1" w:styleId="text">
    <w:name w:val="text"/>
    <w:basedOn w:val="Normal"/>
    <w:rsid w:val="005E4AAE"/>
    <w:pPr>
      <w:ind w:firstLine="567"/>
      <w:jc w:val="both"/>
    </w:pPr>
    <w:rPr>
      <w:rFonts w:ascii="VNI-Times" w:hAnsi="VNI-Times"/>
      <w:sz w:val="22"/>
      <w:szCs w:val="20"/>
    </w:rPr>
  </w:style>
  <w:style w:type="character" w:styleId="CommentReference">
    <w:name w:val="annotation reference"/>
    <w:basedOn w:val="DefaultParagraphFont"/>
    <w:uiPriority w:val="99"/>
    <w:semiHidden/>
    <w:unhideWhenUsed/>
    <w:rsid w:val="006A669B"/>
    <w:rPr>
      <w:sz w:val="16"/>
      <w:szCs w:val="16"/>
    </w:rPr>
  </w:style>
  <w:style w:type="paragraph" w:styleId="CommentText">
    <w:name w:val="annotation text"/>
    <w:basedOn w:val="Normal"/>
    <w:link w:val="CommentTextChar"/>
    <w:uiPriority w:val="99"/>
    <w:semiHidden/>
    <w:unhideWhenUsed/>
    <w:rsid w:val="006A669B"/>
    <w:rPr>
      <w:sz w:val="20"/>
      <w:szCs w:val="20"/>
    </w:rPr>
  </w:style>
  <w:style w:type="character" w:customStyle="1" w:styleId="CommentTextChar">
    <w:name w:val="Comment Text Char"/>
    <w:basedOn w:val="DefaultParagraphFont"/>
    <w:link w:val="CommentText"/>
    <w:uiPriority w:val="99"/>
    <w:semiHidden/>
    <w:rsid w:val="006A66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A669B"/>
    <w:rPr>
      <w:b/>
      <w:bCs/>
    </w:rPr>
  </w:style>
  <w:style w:type="character" w:customStyle="1" w:styleId="CommentSubjectChar">
    <w:name w:val="Comment Subject Char"/>
    <w:basedOn w:val="CommentTextChar"/>
    <w:link w:val="CommentSubject"/>
    <w:uiPriority w:val="99"/>
    <w:semiHidden/>
    <w:rsid w:val="006A669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A66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669B"/>
    <w:rPr>
      <w:rFonts w:ascii="Segoe UI" w:eastAsia="Times New Roman" w:hAnsi="Segoe UI" w:cs="Segoe UI"/>
      <w:sz w:val="18"/>
      <w:szCs w:val="18"/>
    </w:rPr>
  </w:style>
  <w:style w:type="paragraph" w:styleId="ListParagraph">
    <w:name w:val="List Paragraph"/>
    <w:basedOn w:val="Normal"/>
    <w:uiPriority w:val="34"/>
    <w:qFormat/>
    <w:rsid w:val="0003191B"/>
    <w:pPr>
      <w:ind w:left="720"/>
      <w:contextualSpacing/>
    </w:pPr>
  </w:style>
  <w:style w:type="character" w:styleId="Hyperlink">
    <w:name w:val="Hyperlink"/>
    <w:basedOn w:val="DefaultParagraphFont"/>
    <w:uiPriority w:val="99"/>
    <w:unhideWhenUsed/>
    <w:rsid w:val="00321F96"/>
    <w:rPr>
      <w:color w:val="0563C1" w:themeColor="hyperlink"/>
      <w:u w:val="single"/>
    </w:rPr>
  </w:style>
  <w:style w:type="table" w:styleId="TableGrid">
    <w:name w:val="Table Grid"/>
    <w:basedOn w:val="TableNormal"/>
    <w:uiPriority w:val="39"/>
    <w:rsid w:val="00C17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90F9F"/>
    <w:rPr>
      <w:rFonts w:asciiTheme="majorHAnsi" w:eastAsiaTheme="majorEastAsia" w:hAnsiTheme="majorHAnsi" w:cstheme="majorBidi"/>
      <w:color w:val="1F4D78" w:themeColor="accent1" w:themeShade="7F"/>
      <w:sz w:val="24"/>
      <w:szCs w:val="24"/>
    </w:rPr>
  </w:style>
  <w:style w:type="character" w:customStyle="1" w:styleId="fontstyle01">
    <w:name w:val="fontstyle01"/>
    <w:rsid w:val="00463CD9"/>
    <w:rPr>
      <w:rFonts w:ascii="Times-Roman" w:hAnsi="Times-Roman" w:hint="default"/>
      <w:b w:val="0"/>
      <w:bCs w:val="0"/>
      <w:i w:val="0"/>
      <w:iCs w:val="0"/>
      <w:color w:val="000000"/>
      <w:sz w:val="24"/>
      <w:szCs w:val="24"/>
    </w:rPr>
  </w:style>
  <w:style w:type="paragraph" w:customStyle="1" w:styleId="BNOIDUNG">
    <w:name w:val="B. NOI DUNG"/>
    <w:basedOn w:val="Normal"/>
    <w:qFormat/>
    <w:rsid w:val="000E5ECC"/>
    <w:pPr>
      <w:shd w:val="clear" w:color="auto" w:fill="FFFFFF"/>
      <w:spacing w:before="120" w:after="120" w:line="288" w:lineRule="auto"/>
      <w:ind w:firstLine="567"/>
      <w:jc w:val="both"/>
    </w:pPr>
    <w:rPr>
      <w:color w:val="333333"/>
      <w:lang w:val="vi-VN"/>
    </w:rPr>
  </w:style>
  <w:style w:type="character" w:customStyle="1" w:styleId="Heading2Char">
    <w:name w:val="Heading 2 Char"/>
    <w:basedOn w:val="DefaultParagraphFont"/>
    <w:link w:val="Heading2"/>
    <w:uiPriority w:val="9"/>
    <w:rsid w:val="003B3692"/>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semiHidden/>
    <w:unhideWhenUsed/>
    <w:rsid w:val="003B3692"/>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3B3692"/>
    <w:rPr>
      <w:rFonts w:ascii="Calibri" w:eastAsia="Calibri" w:hAnsi="Calibri" w:cs="Times New Roman"/>
      <w:sz w:val="20"/>
      <w:szCs w:val="20"/>
    </w:rPr>
  </w:style>
  <w:style w:type="paragraph" w:styleId="Caption">
    <w:name w:val="caption"/>
    <w:basedOn w:val="Normal"/>
    <w:next w:val="Normal"/>
    <w:uiPriority w:val="35"/>
    <w:semiHidden/>
    <w:unhideWhenUsed/>
    <w:qFormat/>
    <w:rsid w:val="003B3692"/>
    <w:pPr>
      <w:spacing w:after="200"/>
      <w:jc w:val="center"/>
    </w:pPr>
    <w:rPr>
      <w:rFonts w:eastAsia="Calibri"/>
      <w:b/>
      <w:iCs/>
      <w:color w:val="000000" w:themeColor="text1"/>
      <w:sz w:val="26"/>
      <w:szCs w:val="18"/>
    </w:rPr>
  </w:style>
  <w:style w:type="character" w:styleId="FootnoteReference">
    <w:name w:val="footnote reference"/>
    <w:basedOn w:val="DefaultParagraphFont"/>
    <w:uiPriority w:val="99"/>
    <w:semiHidden/>
    <w:unhideWhenUsed/>
    <w:rsid w:val="003B3692"/>
    <w:rPr>
      <w:vertAlign w:val="superscript"/>
    </w:rPr>
  </w:style>
  <w:style w:type="character" w:customStyle="1" w:styleId="Heading4Char">
    <w:name w:val="Heading 4 Char"/>
    <w:basedOn w:val="DefaultParagraphFont"/>
    <w:link w:val="Heading4"/>
    <w:uiPriority w:val="9"/>
    <w:rsid w:val="006252FD"/>
    <w:rPr>
      <w:rFonts w:asciiTheme="majorHAnsi" w:eastAsiaTheme="majorEastAsia" w:hAnsiTheme="majorHAnsi" w:cstheme="majorBidi"/>
      <w:i/>
      <w:iCs/>
      <w:color w:val="2E74B5" w:themeColor="accent1" w:themeShade="BF"/>
    </w:rPr>
  </w:style>
  <w:style w:type="character" w:customStyle="1" w:styleId="fontstyle21">
    <w:name w:val="fontstyle21"/>
    <w:rsid w:val="00BB2AC3"/>
    <w:rPr>
      <w:rFonts w:ascii="ArialMT" w:hAnsi="ArialMT" w:cs="Times New Roman" w:hint="default"/>
      <w:color w:val="000000"/>
      <w:sz w:val="20"/>
      <w:szCs w:val="20"/>
    </w:rPr>
  </w:style>
  <w:style w:type="character" w:customStyle="1" w:styleId="Heading1Char">
    <w:name w:val="Heading 1 Char"/>
    <w:basedOn w:val="DefaultParagraphFont"/>
    <w:link w:val="Heading1"/>
    <w:uiPriority w:val="9"/>
    <w:rsid w:val="009B6E3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51205">
      <w:bodyDiv w:val="1"/>
      <w:marLeft w:val="0"/>
      <w:marRight w:val="0"/>
      <w:marTop w:val="0"/>
      <w:marBottom w:val="0"/>
      <w:divBdr>
        <w:top w:val="none" w:sz="0" w:space="0" w:color="auto"/>
        <w:left w:val="none" w:sz="0" w:space="0" w:color="auto"/>
        <w:bottom w:val="none" w:sz="0" w:space="0" w:color="auto"/>
        <w:right w:val="none" w:sz="0" w:space="0" w:color="auto"/>
      </w:divBdr>
    </w:div>
    <w:div w:id="82848812">
      <w:bodyDiv w:val="1"/>
      <w:marLeft w:val="0"/>
      <w:marRight w:val="0"/>
      <w:marTop w:val="0"/>
      <w:marBottom w:val="0"/>
      <w:divBdr>
        <w:top w:val="none" w:sz="0" w:space="0" w:color="auto"/>
        <w:left w:val="none" w:sz="0" w:space="0" w:color="auto"/>
        <w:bottom w:val="none" w:sz="0" w:space="0" w:color="auto"/>
        <w:right w:val="none" w:sz="0" w:space="0" w:color="auto"/>
      </w:divBdr>
    </w:div>
    <w:div w:id="139469682">
      <w:bodyDiv w:val="1"/>
      <w:marLeft w:val="0"/>
      <w:marRight w:val="0"/>
      <w:marTop w:val="0"/>
      <w:marBottom w:val="0"/>
      <w:divBdr>
        <w:top w:val="none" w:sz="0" w:space="0" w:color="auto"/>
        <w:left w:val="none" w:sz="0" w:space="0" w:color="auto"/>
        <w:bottom w:val="none" w:sz="0" w:space="0" w:color="auto"/>
        <w:right w:val="none" w:sz="0" w:space="0" w:color="auto"/>
      </w:divBdr>
    </w:div>
    <w:div w:id="331687655">
      <w:bodyDiv w:val="1"/>
      <w:marLeft w:val="0"/>
      <w:marRight w:val="0"/>
      <w:marTop w:val="0"/>
      <w:marBottom w:val="0"/>
      <w:divBdr>
        <w:top w:val="none" w:sz="0" w:space="0" w:color="auto"/>
        <w:left w:val="none" w:sz="0" w:space="0" w:color="auto"/>
        <w:bottom w:val="none" w:sz="0" w:space="0" w:color="auto"/>
        <w:right w:val="none" w:sz="0" w:space="0" w:color="auto"/>
      </w:divBdr>
    </w:div>
    <w:div w:id="359089871">
      <w:bodyDiv w:val="1"/>
      <w:marLeft w:val="0"/>
      <w:marRight w:val="0"/>
      <w:marTop w:val="0"/>
      <w:marBottom w:val="0"/>
      <w:divBdr>
        <w:top w:val="none" w:sz="0" w:space="0" w:color="auto"/>
        <w:left w:val="none" w:sz="0" w:space="0" w:color="auto"/>
        <w:bottom w:val="none" w:sz="0" w:space="0" w:color="auto"/>
        <w:right w:val="none" w:sz="0" w:space="0" w:color="auto"/>
      </w:divBdr>
    </w:div>
    <w:div w:id="359666139">
      <w:bodyDiv w:val="1"/>
      <w:marLeft w:val="0"/>
      <w:marRight w:val="0"/>
      <w:marTop w:val="0"/>
      <w:marBottom w:val="0"/>
      <w:divBdr>
        <w:top w:val="none" w:sz="0" w:space="0" w:color="auto"/>
        <w:left w:val="none" w:sz="0" w:space="0" w:color="auto"/>
        <w:bottom w:val="none" w:sz="0" w:space="0" w:color="auto"/>
        <w:right w:val="none" w:sz="0" w:space="0" w:color="auto"/>
      </w:divBdr>
    </w:div>
    <w:div w:id="406193273">
      <w:bodyDiv w:val="1"/>
      <w:marLeft w:val="0"/>
      <w:marRight w:val="0"/>
      <w:marTop w:val="0"/>
      <w:marBottom w:val="0"/>
      <w:divBdr>
        <w:top w:val="none" w:sz="0" w:space="0" w:color="auto"/>
        <w:left w:val="none" w:sz="0" w:space="0" w:color="auto"/>
        <w:bottom w:val="none" w:sz="0" w:space="0" w:color="auto"/>
        <w:right w:val="none" w:sz="0" w:space="0" w:color="auto"/>
      </w:divBdr>
    </w:div>
    <w:div w:id="437721509">
      <w:bodyDiv w:val="1"/>
      <w:marLeft w:val="0"/>
      <w:marRight w:val="0"/>
      <w:marTop w:val="0"/>
      <w:marBottom w:val="0"/>
      <w:divBdr>
        <w:top w:val="none" w:sz="0" w:space="0" w:color="auto"/>
        <w:left w:val="none" w:sz="0" w:space="0" w:color="auto"/>
        <w:bottom w:val="none" w:sz="0" w:space="0" w:color="auto"/>
        <w:right w:val="none" w:sz="0" w:space="0" w:color="auto"/>
      </w:divBdr>
    </w:div>
    <w:div w:id="451751584">
      <w:bodyDiv w:val="1"/>
      <w:marLeft w:val="0"/>
      <w:marRight w:val="0"/>
      <w:marTop w:val="0"/>
      <w:marBottom w:val="0"/>
      <w:divBdr>
        <w:top w:val="none" w:sz="0" w:space="0" w:color="auto"/>
        <w:left w:val="none" w:sz="0" w:space="0" w:color="auto"/>
        <w:bottom w:val="none" w:sz="0" w:space="0" w:color="auto"/>
        <w:right w:val="none" w:sz="0" w:space="0" w:color="auto"/>
      </w:divBdr>
    </w:div>
    <w:div w:id="459760412">
      <w:bodyDiv w:val="1"/>
      <w:marLeft w:val="0"/>
      <w:marRight w:val="0"/>
      <w:marTop w:val="0"/>
      <w:marBottom w:val="0"/>
      <w:divBdr>
        <w:top w:val="none" w:sz="0" w:space="0" w:color="auto"/>
        <w:left w:val="none" w:sz="0" w:space="0" w:color="auto"/>
        <w:bottom w:val="none" w:sz="0" w:space="0" w:color="auto"/>
        <w:right w:val="none" w:sz="0" w:space="0" w:color="auto"/>
      </w:divBdr>
    </w:div>
    <w:div w:id="649751226">
      <w:bodyDiv w:val="1"/>
      <w:marLeft w:val="0"/>
      <w:marRight w:val="0"/>
      <w:marTop w:val="0"/>
      <w:marBottom w:val="0"/>
      <w:divBdr>
        <w:top w:val="none" w:sz="0" w:space="0" w:color="auto"/>
        <w:left w:val="none" w:sz="0" w:space="0" w:color="auto"/>
        <w:bottom w:val="none" w:sz="0" w:space="0" w:color="auto"/>
        <w:right w:val="none" w:sz="0" w:space="0" w:color="auto"/>
      </w:divBdr>
    </w:div>
    <w:div w:id="904026462">
      <w:bodyDiv w:val="1"/>
      <w:marLeft w:val="0"/>
      <w:marRight w:val="0"/>
      <w:marTop w:val="0"/>
      <w:marBottom w:val="0"/>
      <w:divBdr>
        <w:top w:val="none" w:sz="0" w:space="0" w:color="auto"/>
        <w:left w:val="none" w:sz="0" w:space="0" w:color="auto"/>
        <w:bottom w:val="none" w:sz="0" w:space="0" w:color="auto"/>
        <w:right w:val="none" w:sz="0" w:space="0" w:color="auto"/>
      </w:divBdr>
    </w:div>
    <w:div w:id="933514506">
      <w:bodyDiv w:val="1"/>
      <w:marLeft w:val="0"/>
      <w:marRight w:val="0"/>
      <w:marTop w:val="0"/>
      <w:marBottom w:val="0"/>
      <w:divBdr>
        <w:top w:val="none" w:sz="0" w:space="0" w:color="auto"/>
        <w:left w:val="none" w:sz="0" w:space="0" w:color="auto"/>
        <w:bottom w:val="none" w:sz="0" w:space="0" w:color="auto"/>
        <w:right w:val="none" w:sz="0" w:space="0" w:color="auto"/>
      </w:divBdr>
    </w:div>
    <w:div w:id="1036731612">
      <w:bodyDiv w:val="1"/>
      <w:marLeft w:val="0"/>
      <w:marRight w:val="0"/>
      <w:marTop w:val="0"/>
      <w:marBottom w:val="0"/>
      <w:divBdr>
        <w:top w:val="none" w:sz="0" w:space="0" w:color="auto"/>
        <w:left w:val="none" w:sz="0" w:space="0" w:color="auto"/>
        <w:bottom w:val="none" w:sz="0" w:space="0" w:color="auto"/>
        <w:right w:val="none" w:sz="0" w:space="0" w:color="auto"/>
      </w:divBdr>
    </w:div>
    <w:div w:id="1091582155">
      <w:bodyDiv w:val="1"/>
      <w:marLeft w:val="0"/>
      <w:marRight w:val="0"/>
      <w:marTop w:val="0"/>
      <w:marBottom w:val="0"/>
      <w:divBdr>
        <w:top w:val="none" w:sz="0" w:space="0" w:color="auto"/>
        <w:left w:val="none" w:sz="0" w:space="0" w:color="auto"/>
        <w:bottom w:val="none" w:sz="0" w:space="0" w:color="auto"/>
        <w:right w:val="none" w:sz="0" w:space="0" w:color="auto"/>
      </w:divBdr>
    </w:div>
    <w:div w:id="1162162188">
      <w:bodyDiv w:val="1"/>
      <w:marLeft w:val="0"/>
      <w:marRight w:val="0"/>
      <w:marTop w:val="0"/>
      <w:marBottom w:val="0"/>
      <w:divBdr>
        <w:top w:val="none" w:sz="0" w:space="0" w:color="auto"/>
        <w:left w:val="none" w:sz="0" w:space="0" w:color="auto"/>
        <w:bottom w:val="none" w:sz="0" w:space="0" w:color="auto"/>
        <w:right w:val="none" w:sz="0" w:space="0" w:color="auto"/>
      </w:divBdr>
    </w:div>
    <w:div w:id="1421829220">
      <w:bodyDiv w:val="1"/>
      <w:marLeft w:val="0"/>
      <w:marRight w:val="0"/>
      <w:marTop w:val="0"/>
      <w:marBottom w:val="0"/>
      <w:divBdr>
        <w:top w:val="none" w:sz="0" w:space="0" w:color="auto"/>
        <w:left w:val="none" w:sz="0" w:space="0" w:color="auto"/>
        <w:bottom w:val="none" w:sz="0" w:space="0" w:color="auto"/>
        <w:right w:val="none" w:sz="0" w:space="0" w:color="auto"/>
      </w:divBdr>
    </w:div>
    <w:div w:id="1465659931">
      <w:bodyDiv w:val="1"/>
      <w:marLeft w:val="0"/>
      <w:marRight w:val="0"/>
      <w:marTop w:val="0"/>
      <w:marBottom w:val="0"/>
      <w:divBdr>
        <w:top w:val="none" w:sz="0" w:space="0" w:color="auto"/>
        <w:left w:val="none" w:sz="0" w:space="0" w:color="auto"/>
        <w:bottom w:val="none" w:sz="0" w:space="0" w:color="auto"/>
        <w:right w:val="none" w:sz="0" w:space="0" w:color="auto"/>
      </w:divBdr>
    </w:div>
    <w:div w:id="1481653238">
      <w:bodyDiv w:val="1"/>
      <w:marLeft w:val="0"/>
      <w:marRight w:val="0"/>
      <w:marTop w:val="0"/>
      <w:marBottom w:val="0"/>
      <w:divBdr>
        <w:top w:val="none" w:sz="0" w:space="0" w:color="auto"/>
        <w:left w:val="none" w:sz="0" w:space="0" w:color="auto"/>
        <w:bottom w:val="none" w:sz="0" w:space="0" w:color="auto"/>
        <w:right w:val="none" w:sz="0" w:space="0" w:color="auto"/>
      </w:divBdr>
    </w:div>
    <w:div w:id="1569194919">
      <w:bodyDiv w:val="1"/>
      <w:marLeft w:val="0"/>
      <w:marRight w:val="0"/>
      <w:marTop w:val="0"/>
      <w:marBottom w:val="0"/>
      <w:divBdr>
        <w:top w:val="none" w:sz="0" w:space="0" w:color="auto"/>
        <w:left w:val="none" w:sz="0" w:space="0" w:color="auto"/>
        <w:bottom w:val="none" w:sz="0" w:space="0" w:color="auto"/>
        <w:right w:val="none" w:sz="0" w:space="0" w:color="auto"/>
      </w:divBdr>
    </w:div>
    <w:div w:id="1570386579">
      <w:bodyDiv w:val="1"/>
      <w:marLeft w:val="0"/>
      <w:marRight w:val="0"/>
      <w:marTop w:val="0"/>
      <w:marBottom w:val="0"/>
      <w:divBdr>
        <w:top w:val="none" w:sz="0" w:space="0" w:color="auto"/>
        <w:left w:val="none" w:sz="0" w:space="0" w:color="auto"/>
        <w:bottom w:val="none" w:sz="0" w:space="0" w:color="auto"/>
        <w:right w:val="none" w:sz="0" w:space="0" w:color="auto"/>
      </w:divBdr>
    </w:div>
    <w:div w:id="1578901545">
      <w:bodyDiv w:val="1"/>
      <w:marLeft w:val="0"/>
      <w:marRight w:val="0"/>
      <w:marTop w:val="0"/>
      <w:marBottom w:val="0"/>
      <w:divBdr>
        <w:top w:val="none" w:sz="0" w:space="0" w:color="auto"/>
        <w:left w:val="none" w:sz="0" w:space="0" w:color="auto"/>
        <w:bottom w:val="none" w:sz="0" w:space="0" w:color="auto"/>
        <w:right w:val="none" w:sz="0" w:space="0" w:color="auto"/>
      </w:divBdr>
    </w:div>
    <w:div w:id="1658220151">
      <w:bodyDiv w:val="1"/>
      <w:marLeft w:val="0"/>
      <w:marRight w:val="0"/>
      <w:marTop w:val="0"/>
      <w:marBottom w:val="0"/>
      <w:divBdr>
        <w:top w:val="none" w:sz="0" w:space="0" w:color="auto"/>
        <w:left w:val="none" w:sz="0" w:space="0" w:color="auto"/>
        <w:bottom w:val="none" w:sz="0" w:space="0" w:color="auto"/>
        <w:right w:val="none" w:sz="0" w:space="0" w:color="auto"/>
      </w:divBdr>
    </w:div>
    <w:div w:id="1698844665">
      <w:bodyDiv w:val="1"/>
      <w:marLeft w:val="0"/>
      <w:marRight w:val="0"/>
      <w:marTop w:val="0"/>
      <w:marBottom w:val="0"/>
      <w:divBdr>
        <w:top w:val="none" w:sz="0" w:space="0" w:color="auto"/>
        <w:left w:val="none" w:sz="0" w:space="0" w:color="auto"/>
        <w:bottom w:val="none" w:sz="0" w:space="0" w:color="auto"/>
        <w:right w:val="none" w:sz="0" w:space="0" w:color="auto"/>
      </w:divBdr>
    </w:div>
    <w:div w:id="1766413046">
      <w:bodyDiv w:val="1"/>
      <w:marLeft w:val="0"/>
      <w:marRight w:val="0"/>
      <w:marTop w:val="0"/>
      <w:marBottom w:val="0"/>
      <w:divBdr>
        <w:top w:val="none" w:sz="0" w:space="0" w:color="auto"/>
        <w:left w:val="none" w:sz="0" w:space="0" w:color="auto"/>
        <w:bottom w:val="none" w:sz="0" w:space="0" w:color="auto"/>
        <w:right w:val="none" w:sz="0" w:space="0" w:color="auto"/>
      </w:divBdr>
    </w:div>
    <w:div w:id="1788113231">
      <w:bodyDiv w:val="1"/>
      <w:marLeft w:val="0"/>
      <w:marRight w:val="0"/>
      <w:marTop w:val="0"/>
      <w:marBottom w:val="0"/>
      <w:divBdr>
        <w:top w:val="none" w:sz="0" w:space="0" w:color="auto"/>
        <w:left w:val="none" w:sz="0" w:space="0" w:color="auto"/>
        <w:bottom w:val="none" w:sz="0" w:space="0" w:color="auto"/>
        <w:right w:val="none" w:sz="0" w:space="0" w:color="auto"/>
      </w:divBdr>
    </w:div>
    <w:div w:id="1823807462">
      <w:bodyDiv w:val="1"/>
      <w:marLeft w:val="0"/>
      <w:marRight w:val="0"/>
      <w:marTop w:val="0"/>
      <w:marBottom w:val="0"/>
      <w:divBdr>
        <w:top w:val="none" w:sz="0" w:space="0" w:color="auto"/>
        <w:left w:val="none" w:sz="0" w:space="0" w:color="auto"/>
        <w:bottom w:val="none" w:sz="0" w:space="0" w:color="auto"/>
        <w:right w:val="none" w:sz="0" w:space="0" w:color="auto"/>
      </w:divBdr>
    </w:div>
    <w:div w:id="1857841574">
      <w:bodyDiv w:val="1"/>
      <w:marLeft w:val="0"/>
      <w:marRight w:val="0"/>
      <w:marTop w:val="0"/>
      <w:marBottom w:val="0"/>
      <w:divBdr>
        <w:top w:val="none" w:sz="0" w:space="0" w:color="auto"/>
        <w:left w:val="none" w:sz="0" w:space="0" w:color="auto"/>
        <w:bottom w:val="none" w:sz="0" w:space="0" w:color="auto"/>
        <w:right w:val="none" w:sz="0" w:space="0" w:color="auto"/>
      </w:divBdr>
      <w:divsChild>
        <w:div w:id="1332219371">
          <w:marLeft w:val="0"/>
          <w:marRight w:val="0"/>
          <w:marTop w:val="0"/>
          <w:marBottom w:val="0"/>
          <w:divBdr>
            <w:top w:val="none" w:sz="0" w:space="0" w:color="auto"/>
            <w:left w:val="none" w:sz="0" w:space="0" w:color="auto"/>
            <w:bottom w:val="none" w:sz="0" w:space="0" w:color="auto"/>
            <w:right w:val="none" w:sz="0" w:space="0" w:color="auto"/>
          </w:divBdr>
          <w:divsChild>
            <w:div w:id="1137332025">
              <w:marLeft w:val="0"/>
              <w:marRight w:val="0"/>
              <w:marTop w:val="0"/>
              <w:marBottom w:val="0"/>
              <w:divBdr>
                <w:top w:val="none" w:sz="0" w:space="0" w:color="auto"/>
                <w:left w:val="none" w:sz="0" w:space="0" w:color="auto"/>
                <w:bottom w:val="none" w:sz="0" w:space="0" w:color="auto"/>
                <w:right w:val="none" w:sz="0" w:space="0" w:color="auto"/>
              </w:divBdr>
              <w:divsChild>
                <w:div w:id="2062438310">
                  <w:marLeft w:val="-240"/>
                  <w:marRight w:val="-240"/>
                  <w:marTop w:val="0"/>
                  <w:marBottom w:val="0"/>
                  <w:divBdr>
                    <w:top w:val="none" w:sz="0" w:space="0" w:color="auto"/>
                    <w:left w:val="none" w:sz="0" w:space="0" w:color="auto"/>
                    <w:bottom w:val="none" w:sz="0" w:space="0" w:color="auto"/>
                    <w:right w:val="none" w:sz="0" w:space="0" w:color="auto"/>
                  </w:divBdr>
                  <w:divsChild>
                    <w:div w:id="902058853">
                      <w:marLeft w:val="0"/>
                      <w:marRight w:val="0"/>
                      <w:marTop w:val="0"/>
                      <w:marBottom w:val="0"/>
                      <w:divBdr>
                        <w:top w:val="none" w:sz="0" w:space="0" w:color="auto"/>
                        <w:left w:val="none" w:sz="0" w:space="0" w:color="auto"/>
                        <w:bottom w:val="none" w:sz="0" w:space="0" w:color="auto"/>
                        <w:right w:val="none" w:sz="0" w:space="0" w:color="auto"/>
                      </w:divBdr>
                      <w:divsChild>
                        <w:div w:id="1549563271">
                          <w:marLeft w:val="0"/>
                          <w:marRight w:val="0"/>
                          <w:marTop w:val="0"/>
                          <w:marBottom w:val="0"/>
                          <w:divBdr>
                            <w:top w:val="none" w:sz="0" w:space="0" w:color="auto"/>
                            <w:left w:val="none" w:sz="0" w:space="0" w:color="auto"/>
                            <w:bottom w:val="none" w:sz="0" w:space="0" w:color="auto"/>
                            <w:right w:val="none" w:sz="0" w:space="0" w:color="auto"/>
                          </w:divBdr>
                        </w:div>
                        <w:div w:id="990644393">
                          <w:marLeft w:val="0"/>
                          <w:marRight w:val="0"/>
                          <w:marTop w:val="0"/>
                          <w:marBottom w:val="0"/>
                          <w:divBdr>
                            <w:top w:val="none" w:sz="0" w:space="0" w:color="auto"/>
                            <w:left w:val="none" w:sz="0" w:space="0" w:color="auto"/>
                            <w:bottom w:val="none" w:sz="0" w:space="0" w:color="auto"/>
                            <w:right w:val="none" w:sz="0" w:space="0" w:color="auto"/>
                          </w:divBdr>
                          <w:divsChild>
                            <w:div w:id="670448769">
                              <w:marLeft w:val="165"/>
                              <w:marRight w:val="165"/>
                              <w:marTop w:val="0"/>
                              <w:marBottom w:val="0"/>
                              <w:divBdr>
                                <w:top w:val="none" w:sz="0" w:space="0" w:color="auto"/>
                                <w:left w:val="none" w:sz="0" w:space="0" w:color="auto"/>
                                <w:bottom w:val="none" w:sz="0" w:space="0" w:color="auto"/>
                                <w:right w:val="none" w:sz="0" w:space="0" w:color="auto"/>
                              </w:divBdr>
                              <w:divsChild>
                                <w:div w:id="1219167166">
                                  <w:marLeft w:val="0"/>
                                  <w:marRight w:val="0"/>
                                  <w:marTop w:val="0"/>
                                  <w:marBottom w:val="0"/>
                                  <w:divBdr>
                                    <w:top w:val="none" w:sz="0" w:space="0" w:color="auto"/>
                                    <w:left w:val="none" w:sz="0" w:space="0" w:color="auto"/>
                                    <w:bottom w:val="none" w:sz="0" w:space="0" w:color="auto"/>
                                    <w:right w:val="none" w:sz="0" w:space="0" w:color="auto"/>
                                  </w:divBdr>
                                  <w:divsChild>
                                    <w:div w:id="166547178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7408452">
      <w:bodyDiv w:val="1"/>
      <w:marLeft w:val="0"/>
      <w:marRight w:val="0"/>
      <w:marTop w:val="0"/>
      <w:marBottom w:val="0"/>
      <w:divBdr>
        <w:top w:val="none" w:sz="0" w:space="0" w:color="auto"/>
        <w:left w:val="none" w:sz="0" w:space="0" w:color="auto"/>
        <w:bottom w:val="none" w:sz="0" w:space="0" w:color="auto"/>
        <w:right w:val="none" w:sz="0" w:space="0" w:color="auto"/>
      </w:divBdr>
    </w:div>
    <w:div w:id="1890724478">
      <w:bodyDiv w:val="1"/>
      <w:marLeft w:val="0"/>
      <w:marRight w:val="0"/>
      <w:marTop w:val="0"/>
      <w:marBottom w:val="0"/>
      <w:divBdr>
        <w:top w:val="none" w:sz="0" w:space="0" w:color="auto"/>
        <w:left w:val="none" w:sz="0" w:space="0" w:color="auto"/>
        <w:bottom w:val="none" w:sz="0" w:space="0" w:color="auto"/>
        <w:right w:val="none" w:sz="0" w:space="0" w:color="auto"/>
      </w:divBdr>
    </w:div>
    <w:div w:id="1999191269">
      <w:bodyDiv w:val="1"/>
      <w:marLeft w:val="0"/>
      <w:marRight w:val="0"/>
      <w:marTop w:val="0"/>
      <w:marBottom w:val="0"/>
      <w:divBdr>
        <w:top w:val="none" w:sz="0" w:space="0" w:color="auto"/>
        <w:left w:val="none" w:sz="0" w:space="0" w:color="auto"/>
        <w:bottom w:val="none" w:sz="0" w:space="0" w:color="auto"/>
        <w:right w:val="none" w:sz="0" w:space="0" w:color="auto"/>
      </w:divBdr>
    </w:div>
    <w:div w:id="207600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0ED24-351A-4DD5-A91D-E8D533B05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27</Pages>
  <Words>5670</Words>
  <Characters>32320</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Doanh Nghiep</cp:lastModifiedBy>
  <cp:revision>17</cp:revision>
  <dcterms:created xsi:type="dcterms:W3CDTF">2020-10-09T07:28:00Z</dcterms:created>
  <dcterms:modified xsi:type="dcterms:W3CDTF">2020-10-22T16:47:00Z</dcterms:modified>
</cp:coreProperties>
</file>